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555" w:lineRule="atLeast"/>
        <w:jc w:val="center"/>
        <w:rPr>
          <w:rStyle w:val="4"/>
          <w:rFonts w:hint="eastAsia"/>
          <w:color w:val="000000"/>
          <w:sz w:val="36"/>
          <w:szCs w:val="36"/>
          <w:lang w:val="en-US" w:eastAsia="zh-CN"/>
        </w:rPr>
      </w:pPr>
    </w:p>
    <w:p>
      <w:pPr>
        <w:pStyle w:val="2"/>
        <w:shd w:val="clear" w:color="auto" w:fill="FFFFFF"/>
        <w:spacing w:before="0" w:beforeAutospacing="0" w:after="0" w:afterAutospacing="0" w:line="555" w:lineRule="atLeast"/>
        <w:jc w:val="center"/>
        <w:rPr>
          <w:rStyle w:val="4"/>
          <w:rFonts w:hint="eastAsia"/>
          <w:color w:val="000000"/>
          <w:sz w:val="32"/>
          <w:szCs w:val="32"/>
          <w:lang w:val="en-US" w:eastAsia="zh-CN"/>
        </w:rPr>
      </w:pPr>
      <w:r>
        <w:rPr>
          <w:rStyle w:val="4"/>
          <w:rFonts w:hint="eastAsia"/>
          <w:color w:val="000000"/>
          <w:sz w:val="36"/>
          <w:szCs w:val="36"/>
          <w:lang w:val="en-US" w:eastAsia="zh-CN"/>
        </w:rPr>
        <w:t>多措并举树品牌，精准施策育匠心</w:t>
      </w:r>
    </w:p>
    <w:p>
      <w:pPr>
        <w:pStyle w:val="2"/>
        <w:shd w:val="clear" w:color="auto" w:fill="FFFFFF"/>
        <w:spacing w:before="0" w:beforeAutospacing="0" w:after="0" w:afterAutospacing="0" w:line="555" w:lineRule="atLeast"/>
        <w:jc w:val="center"/>
        <w:rPr>
          <w:rStyle w:val="4"/>
          <w:rFonts w:hint="eastAsia"/>
          <w:color w:val="000000"/>
          <w:sz w:val="24"/>
          <w:szCs w:val="24"/>
        </w:rPr>
      </w:pPr>
      <w:r>
        <w:rPr>
          <w:rStyle w:val="4"/>
          <w:rFonts w:hint="eastAsia"/>
          <w:color w:val="000000"/>
          <w:sz w:val="32"/>
          <w:szCs w:val="32"/>
          <w:lang w:val="en-US" w:eastAsia="zh-CN"/>
        </w:rPr>
        <w:t xml:space="preserve">          ——</w:t>
      </w:r>
      <w:r>
        <w:rPr>
          <w:rStyle w:val="4"/>
          <w:rFonts w:hint="eastAsia"/>
          <w:color w:val="000000"/>
          <w:sz w:val="24"/>
          <w:szCs w:val="24"/>
          <w:lang w:val="en-US" w:eastAsia="zh-CN"/>
        </w:rPr>
        <w:t>杭州市拱墅区职业高级中学2017年</w:t>
      </w:r>
      <w:r>
        <w:rPr>
          <w:rStyle w:val="4"/>
          <w:rFonts w:hint="eastAsia"/>
          <w:color w:val="000000"/>
          <w:sz w:val="24"/>
          <w:szCs w:val="24"/>
        </w:rPr>
        <w:t>教育质量年度报告</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bookmarkStart w:id="0" w:name="_GoBack"/>
      <w:bookmarkEnd w:id="0"/>
      <w:r>
        <w:rPr>
          <w:rStyle w:val="4"/>
          <w:rFonts w:hint="eastAsia"/>
          <w:b w:val="0"/>
          <w:bCs w:val="0"/>
          <w:color w:val="000000"/>
          <w:sz w:val="24"/>
          <w:szCs w:val="24"/>
          <w:lang w:val="en-US" w:eastAsia="zh-CN"/>
        </w:rPr>
        <w:t>2017年，于建校三十六年的杭州市拱墅区职业高级中学而言，是合力攻坚、力争上游的一年。在上级主管部门的关心下，全校师生自加压力，以深入学习贯彻十九大精神、积极备战世界技能大赛、稳步推进选择性课改、扎实落实教学诊改、适度优化育人环境为重点工作，拼字当头，重在落实，开创了学校发展的新局面，在专业品质提升上再创佳绩。2017年，学校各项工作亮点纷呈，精彩不断：</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bCs/>
          <w:color w:val="000000"/>
          <w:sz w:val="28"/>
          <w:szCs w:val="28"/>
          <w:lang w:val="en-US" w:eastAsia="zh-CN"/>
        </w:rPr>
      </w:pPr>
      <w:r>
        <w:rPr>
          <w:rStyle w:val="4"/>
          <w:rFonts w:hint="eastAsia"/>
          <w:b/>
          <w:bCs/>
          <w:color w:val="000000"/>
          <w:sz w:val="28"/>
          <w:szCs w:val="28"/>
          <w:lang w:val="en-US" w:eastAsia="zh-CN"/>
        </w:rPr>
        <w:t>亮点之一：世赛夺优胜，拉升标杆再出发</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十月，代表中国参加第44届世界技能大赛美发项目的我校青年教师王芹，在阿布扎比以总分第四名的好成绩夺得世赛优胜奖，为国家争得了荣誉。开创了学校首次参加世赛就有所斩获的新局面，为未来创造更佳战绩开了个好头，积累了经验。</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bCs/>
          <w:color w:val="000000"/>
          <w:sz w:val="28"/>
          <w:szCs w:val="28"/>
          <w:lang w:val="en-US" w:eastAsia="zh-CN"/>
        </w:rPr>
      </w:pPr>
      <w:r>
        <w:rPr>
          <w:rStyle w:val="4"/>
          <w:rFonts w:hint="eastAsia"/>
          <w:b/>
          <w:bCs/>
          <w:color w:val="000000"/>
          <w:sz w:val="28"/>
          <w:szCs w:val="28"/>
          <w:lang w:val="en-US" w:eastAsia="zh-CN"/>
        </w:rPr>
        <w:t>亮点之二：竞赛创佳绩，多点开花筑精彩</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积极参与各级各类竞赛，创造最佳成绩。年初，学校荣获全国中职生文明风采大赛优秀组织奖、多个作品在全国大赛上获奖。年中，在多项行业、企业组织的竞赛中，我校师生敢于同行业专业人士比技术、赛技能，取得多项桂冠。10月，在市职业能力大赛美术、数字影像后期、英语表演项目上共获得两金、三银、七铜。12月，在杭州市职业素养大赛中，又在生涯规划、摄影两个项目上斩获三项桂冠，并获得二等奖四项、三等奖五项。另外，17美术3+2班的刘明月同学荣获由杭州日版举办的“校园表情包动漫创作金奖”，随杭州动漫考察团赴日参观交流。</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bCs/>
          <w:color w:val="000000"/>
          <w:sz w:val="28"/>
          <w:szCs w:val="28"/>
          <w:lang w:val="en-US" w:eastAsia="zh-CN"/>
        </w:rPr>
      </w:pPr>
      <w:r>
        <w:rPr>
          <w:rStyle w:val="4"/>
          <w:rFonts w:hint="eastAsia"/>
          <w:b/>
          <w:bCs/>
          <w:color w:val="000000"/>
          <w:sz w:val="28"/>
          <w:szCs w:val="28"/>
          <w:lang w:val="en-US" w:eastAsia="zh-CN"/>
        </w:rPr>
        <w:t>亮点之三：课改新气象，多元发展夯基础</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进一步加大了课程改革力度。从培养“全面发展，一专多能型”职业型人才的高度，设计各专业选择性课程改革方案。一方面，学校通过内部挖潜，创设开发了三十多门校本选修课程，确保了学生对课程的选择权；另一方面，学校通过改变教学组织形式，将学生升学就业方向分流前置到高一下学期进行，很好地解决了不同取向学生对文化课及专业课的需求差异问题，为提升学生未来发展空间留足了时间。在专业课教学中，学校更多地引入了企业文化的元素，通过企业师傅进课堂、企业车间进学校；学生企业观摩日、职业体验活动周等形式，盘活课堂教学效率，促进课程改革向深度发展。</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bCs/>
          <w:color w:val="000000"/>
          <w:sz w:val="28"/>
          <w:szCs w:val="28"/>
          <w:lang w:val="en-US" w:eastAsia="zh-CN"/>
        </w:rPr>
      </w:pPr>
      <w:r>
        <w:rPr>
          <w:rStyle w:val="4"/>
          <w:rFonts w:hint="eastAsia"/>
          <w:b/>
          <w:bCs/>
          <w:color w:val="000000"/>
          <w:sz w:val="28"/>
          <w:szCs w:val="28"/>
          <w:lang w:val="en-US" w:eastAsia="zh-CN"/>
        </w:rPr>
        <w:t>亮点之四：诊改动真格，听课评教抓落实</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是学校全面开展教学诊断与改进的第一年。在校长的直接领导下，由教务处牵头，从抓教学常规入手，以组织诊改小组成员集中听课的方式来发现当下课堂教学中存在的共性问题，并有针对性地给出整改意见。全年随堂听课近两百多堂，涵盖了全校各个教研组所有任课教师。教务处组织评课议课近百场，促进了教师之间的业务交流，规范了教育教学行为。学校还引进了考试分析系统，借助于大数据对教师的教学情况进行跟踪反馈，使教学针对性与有效性有了显著提高。</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bCs/>
          <w:color w:val="000000"/>
          <w:sz w:val="28"/>
          <w:szCs w:val="28"/>
          <w:lang w:val="en-US" w:eastAsia="zh-CN"/>
        </w:rPr>
      </w:pPr>
      <w:r>
        <w:rPr>
          <w:rStyle w:val="4"/>
          <w:rFonts w:hint="eastAsia"/>
          <w:b/>
          <w:bCs/>
          <w:color w:val="000000"/>
          <w:sz w:val="28"/>
          <w:szCs w:val="28"/>
          <w:lang w:val="en-US" w:eastAsia="zh-CN"/>
        </w:rPr>
        <w:t>亮点之五：校企深融合，学徒试点显特色</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继2016年与佳丽摄影创办首个数字影像技术专业学徒制班级之后，2017年学校又与苑苑集团联合创办了美发与形象设计专业现代学徒制班级，使得学校两大主体专业均设立了校企深度合作的试点班级。这一举措使企业一线资深技师成为专业课教学的指导教师，将企业文化、管理理念以及最新的培训手段带进了学校，有效填补了校企之间的技术鸿沟，确保学生能够在校企转岗过程中熟练上手，平稳位移。2017年，学校各个专业还充分利用现有企业资源，通过外出采风、老总讲座、企业见习等形式，帮助学生积累对企业的真实认知，指导学生结合自身条件，合理规划职业生涯，走出最美职场路。</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bCs/>
          <w:color w:val="000000"/>
          <w:sz w:val="28"/>
          <w:szCs w:val="28"/>
          <w:lang w:val="en-US" w:eastAsia="zh-CN"/>
        </w:rPr>
      </w:pPr>
      <w:r>
        <w:rPr>
          <w:rStyle w:val="4"/>
          <w:rFonts w:hint="eastAsia"/>
          <w:b/>
          <w:bCs/>
          <w:color w:val="000000"/>
          <w:sz w:val="28"/>
          <w:szCs w:val="28"/>
          <w:lang w:val="en-US" w:eastAsia="zh-CN"/>
        </w:rPr>
        <w:t>亮点之六：提质立项多，数路并举树品牌</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是学校积极参与省、市职业教育质量提升工程申报的一年。全年共申报杭州市中职质量提升工程及省“三名”工程项目五项，均获立项。其中，中职名校长、中职名师以及职普融通项目获杭州市级立项，孔晶晶名师工作室及形象设计优势特色专业建设项目获省级立项。上述质量提升工程的立项项目，将对专业建设、师资培养以及竞赛队伍的组建训练带来稳定的资金保证、政策支撑，起到积极的促进作用，有利于学校主干专业的可持续发展与提升。</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bCs/>
          <w:color w:val="000000"/>
          <w:sz w:val="28"/>
          <w:szCs w:val="28"/>
          <w:lang w:val="en-US" w:eastAsia="zh-CN"/>
        </w:rPr>
      </w:pPr>
      <w:r>
        <w:rPr>
          <w:rStyle w:val="4"/>
          <w:rFonts w:hint="eastAsia"/>
          <w:b/>
          <w:bCs/>
          <w:color w:val="000000"/>
          <w:sz w:val="28"/>
          <w:szCs w:val="28"/>
          <w:lang w:val="en-US" w:eastAsia="zh-CN"/>
        </w:rPr>
        <w:t>亮点之七：德育落实处，柔性管理有温度</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积极响应区教育局提出的打造“有温度的课堂”的活动，积极培育“有温度的教师”。针对改变了的学情，实施“37°德育”计划，彰显柔性管理对中职学生素养的浸润作用，取得了不错的效果。学校抓住德育的重点与热点，结合班会课、展示栏以及广播站等形式开展分年级有计划有目的主题活动，基本做到全覆盖无死角。加强学生优质社团建设，发现了学生闪光点，用学生最能够接受的方式走近学生，了解学生，实施精准德育，带动一个，影响一批，使得学校德育工作形势整体向好。</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val="0"/>
          <w:bCs w:val="0"/>
          <w:color w:val="000000"/>
          <w:sz w:val="24"/>
          <w:szCs w:val="24"/>
          <w:lang w:val="en-US" w:eastAsia="zh-CN"/>
        </w:rPr>
      </w:pPr>
      <w:r>
        <w:rPr>
          <w:rStyle w:val="4"/>
          <w:rFonts w:hint="eastAsia"/>
          <w:b/>
          <w:bCs/>
          <w:color w:val="000000"/>
          <w:sz w:val="28"/>
          <w:szCs w:val="28"/>
          <w:lang w:val="en-US" w:eastAsia="zh-CN"/>
        </w:rPr>
        <w:t>亮点之八：硬件再提升，美丽校园创氛围</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为配合上塘地区城建改造，2017年学校进行了多项基建工程。食堂及附属教室拆复建、操场及跑道塑胶重新铺装、学校大门内移改建、教学楼文化景观增设等项目的如期竣工，大大提升了学校办学硬件水平，使得校园更美丽、教学环境更怡人。学校书吧及连廊改建项目入选杭州市美丽校园建设特色项目名录，进一步提升了学校的美誉度。</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现依照规范文本格式，结合工作实际，向社会提交学校2017年度教育质量报告。</w:t>
      </w:r>
    </w:p>
    <w:p>
      <w:pPr>
        <w:pStyle w:val="2"/>
        <w:shd w:val="clear" w:color="auto" w:fill="FFFFFF"/>
        <w:spacing w:before="0" w:beforeAutospacing="0" w:after="0" w:afterAutospacing="0" w:line="555" w:lineRule="atLeast"/>
        <w:ind w:firstLine="480"/>
        <w:rPr>
          <w:rFonts w:ascii="����" w:hAnsi="����"/>
          <w:b/>
          <w:color w:val="000000"/>
          <w:sz w:val="20"/>
          <w:szCs w:val="20"/>
        </w:rPr>
      </w:pPr>
      <w:r>
        <w:rPr>
          <w:rFonts w:hint="eastAsia" w:ascii="仿宋_GB2312" w:hAnsi="Calibri" w:eastAsia="仿宋_GB2312"/>
          <w:b/>
          <w:color w:val="000000"/>
          <w:sz w:val="28"/>
          <w:szCs w:val="28"/>
        </w:rPr>
        <w:t>1.学校情况</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1.1学校概况</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杭州市拱墅区职业高级中学是隶属于杭州市拱墅区教育局的唯一一所中等职业学校。其前身为创建于1981年的杭州市上塘中学。1999年起，独立建校，是杭州创办时间较早的职业学校之一。目前，学校由两部分校区组成，舟山东路124号，为主校区，占地面积10672平方米；湖墅南路227号，为实训基地，建筑面积2400平方米。经过三十多年的发展，学校目前拥有美发与形象设计、美容美体、数字影像技术、美术设计与制作四大专业，是中国美容美发名校、世界技能大赛美发项目中国国家队训练基地、全国数字化校园示范学校建设单位，截止到2017年年末，学校资产总额达到27998959.98元。</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1.2 学生情况</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35" w:lineRule="atLeast"/>
        <w:ind w:left="0" w:leftChars="0" w:right="0" w:rightChars="0" w:firstLine="482" w:firstLineChars="0"/>
        <w:jc w:val="both"/>
        <w:textAlignment w:val="auto"/>
        <w:outlineLvl w:val="9"/>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随着杭州市民生活水平以及审美情趣的不断提高，近年来，我校招生形势逐年趋好，部分热门专业报名招生比例甚至超过了5:1，受办学场地条件限制，学校自2017年起，招生规模控制在11个班，330名学生左右。目前，学校共有35个建制班级，在校生总数为950人，男女学生比为1.04:1。2017年毕业人数为273人。巩固率为92.5%。我校实训基地现为杭州市公共实训基地分基地，2017年承担社会培训任务达到11项，受训人员为670人次，均较上一年有较大提高。</w:t>
      </w:r>
    </w:p>
    <w:p>
      <w:pPr>
        <w:pStyle w:val="2"/>
        <w:shd w:val="clear" w:color="auto" w:fill="FFFFFF"/>
        <w:spacing w:before="0" w:beforeAutospacing="0" w:after="0" w:afterAutospacing="0" w:line="555" w:lineRule="atLeast"/>
        <w:ind w:firstLine="480" w:firstLineChars="200"/>
        <w:jc w:val="center"/>
        <w:rPr>
          <w:rFonts w:hint="eastAsia" w:ascii="仿宋_GB2312" w:hAnsi="Calibri" w:eastAsia="仿宋_GB2312"/>
          <w:color w:val="000000"/>
          <w:sz w:val="24"/>
          <w:szCs w:val="24"/>
          <w:lang w:val="en-US" w:eastAsia="zh-CN"/>
        </w:rPr>
      </w:pPr>
      <w:r>
        <w:rPr>
          <w:rFonts w:hint="eastAsia" w:ascii="仿宋_GB2312" w:hAnsi="Calibri" w:eastAsia="仿宋_GB2312"/>
          <w:color w:val="000000"/>
          <w:sz w:val="24"/>
          <w:szCs w:val="24"/>
          <w:lang w:val="en-US" w:eastAsia="zh-CN"/>
        </w:rPr>
        <w:t>附表1：学校招生专业及学生构成基本情况表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80"/>
        <w:gridCol w:w="900"/>
        <w:gridCol w:w="840"/>
        <w:gridCol w:w="885"/>
        <w:gridCol w:w="915"/>
        <w:gridCol w:w="1020"/>
        <w:gridCol w:w="930"/>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1276" w:type="dxa"/>
            <w:vMerge w:val="restart"/>
            <w:vAlign w:val="center"/>
          </w:tcPr>
          <w:p>
            <w:pPr>
              <w:pStyle w:val="2"/>
              <w:spacing w:before="0" w:beforeAutospacing="0" w:after="0" w:afterAutospacing="0" w:line="555" w:lineRule="atLeast"/>
              <w:jc w:val="center"/>
              <w:rPr>
                <w:rFonts w:hint="eastAsia" w:ascii="仿宋_GB2312" w:hAnsi="Calibri" w:eastAsia="仿宋_GB2312"/>
                <w:b w:val="0"/>
                <w:bCs w:val="0"/>
                <w:color w:val="auto"/>
                <w:sz w:val="24"/>
                <w:szCs w:val="24"/>
                <w:vertAlign w:val="baseline"/>
                <w:lang w:val="en-US" w:eastAsia="zh-CN"/>
              </w:rPr>
            </w:pPr>
          </w:p>
        </w:tc>
        <w:tc>
          <w:tcPr>
            <w:tcW w:w="1680" w:type="dxa"/>
            <w:gridSpan w:val="2"/>
            <w:vAlign w:val="top"/>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招生人数</w:t>
            </w:r>
          </w:p>
        </w:tc>
        <w:tc>
          <w:tcPr>
            <w:tcW w:w="1725" w:type="dxa"/>
            <w:gridSpan w:val="2"/>
            <w:vAlign w:val="top"/>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毕业人数</w:t>
            </w:r>
          </w:p>
        </w:tc>
        <w:tc>
          <w:tcPr>
            <w:tcW w:w="915" w:type="dxa"/>
            <w:vMerge w:val="restart"/>
            <w:vAlign w:val="top"/>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现在校人数</w:t>
            </w:r>
          </w:p>
        </w:tc>
        <w:tc>
          <w:tcPr>
            <w:tcW w:w="1020" w:type="dxa"/>
            <w:vMerge w:val="restart"/>
            <w:vAlign w:val="top"/>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男女生比例</w:t>
            </w:r>
          </w:p>
        </w:tc>
        <w:tc>
          <w:tcPr>
            <w:tcW w:w="1906" w:type="dxa"/>
            <w:gridSpan w:val="2"/>
            <w:vAlign w:val="top"/>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Style w:val="4"/>
                <w:rFonts w:hint="eastAsia"/>
                <w:b w:val="0"/>
                <w:bCs w:val="0"/>
                <w:color w:val="auto"/>
                <w:sz w:val="24"/>
                <w:szCs w:val="24"/>
                <w:lang w:val="en-US" w:eastAsia="zh-CN"/>
              </w:rPr>
            </w:pPr>
            <w:r>
              <w:rPr>
                <w:rFonts w:hint="eastAsia" w:ascii="仿宋_GB2312" w:hAnsi="Calibri" w:eastAsia="仿宋_GB2312"/>
                <w:b w:val="0"/>
                <w:bCs w:val="0"/>
                <w:color w:val="auto"/>
                <w:sz w:val="22"/>
                <w:szCs w:val="22"/>
                <w:vertAlign w:val="baseline"/>
                <w:lang w:val="en-US" w:eastAsia="zh-CN"/>
              </w:rPr>
              <w:t>社会培训人次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trPr>
        <w:tc>
          <w:tcPr>
            <w:tcW w:w="1276" w:type="dxa"/>
            <w:vMerge w:val="continue"/>
            <w:vAlign w:val="center"/>
          </w:tcPr>
          <w:p>
            <w:pPr>
              <w:pStyle w:val="2"/>
              <w:spacing w:before="0" w:beforeAutospacing="0" w:after="0" w:afterAutospacing="0" w:line="555" w:lineRule="atLeast"/>
              <w:jc w:val="center"/>
              <w:rPr>
                <w:rFonts w:hint="eastAsia" w:ascii="仿宋_GB2312" w:hAnsi="Calibri" w:eastAsia="仿宋_GB2312"/>
                <w:b w:val="0"/>
                <w:bCs w:val="0"/>
                <w:color w:val="auto"/>
                <w:sz w:val="24"/>
                <w:szCs w:val="24"/>
                <w:vertAlign w:val="baseline"/>
                <w:lang w:val="en-US" w:eastAsia="zh-CN"/>
              </w:rPr>
            </w:pPr>
          </w:p>
        </w:tc>
        <w:tc>
          <w:tcPr>
            <w:tcW w:w="780" w:type="dxa"/>
            <w:vAlign w:val="top"/>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Style w:val="4"/>
                <w:rFonts w:hint="eastAsia"/>
                <w:b w:val="0"/>
                <w:bCs w:val="0"/>
                <w:color w:val="auto"/>
                <w:sz w:val="24"/>
                <w:szCs w:val="24"/>
                <w:lang w:val="en-US" w:eastAsia="zh-CN"/>
              </w:rPr>
              <w:t>2016</w:t>
            </w:r>
          </w:p>
        </w:tc>
        <w:tc>
          <w:tcPr>
            <w:tcW w:w="900" w:type="dxa"/>
            <w:vAlign w:val="top"/>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Style w:val="4"/>
                <w:rFonts w:hint="eastAsia"/>
                <w:b w:val="0"/>
                <w:bCs w:val="0"/>
                <w:color w:val="auto"/>
                <w:sz w:val="24"/>
                <w:szCs w:val="24"/>
                <w:lang w:val="en-US" w:eastAsia="zh-CN"/>
              </w:rPr>
              <w:t>2017</w:t>
            </w:r>
          </w:p>
        </w:tc>
        <w:tc>
          <w:tcPr>
            <w:tcW w:w="840" w:type="dxa"/>
            <w:vAlign w:val="top"/>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Style w:val="4"/>
                <w:rFonts w:hint="eastAsia"/>
                <w:b w:val="0"/>
                <w:bCs w:val="0"/>
                <w:color w:val="auto"/>
                <w:sz w:val="24"/>
                <w:szCs w:val="24"/>
                <w:lang w:val="en-US" w:eastAsia="zh-CN"/>
              </w:rPr>
              <w:t>2016</w:t>
            </w:r>
          </w:p>
        </w:tc>
        <w:tc>
          <w:tcPr>
            <w:tcW w:w="885" w:type="dxa"/>
            <w:vAlign w:val="top"/>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Style w:val="4"/>
                <w:rFonts w:hint="eastAsia"/>
                <w:b w:val="0"/>
                <w:bCs w:val="0"/>
                <w:color w:val="auto"/>
                <w:sz w:val="24"/>
                <w:szCs w:val="24"/>
                <w:lang w:val="en-US" w:eastAsia="zh-CN"/>
              </w:rPr>
              <w:t>2017</w:t>
            </w:r>
          </w:p>
        </w:tc>
        <w:tc>
          <w:tcPr>
            <w:tcW w:w="915" w:type="dxa"/>
            <w:vMerge w:val="continue"/>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4"/>
                <w:szCs w:val="24"/>
                <w:vertAlign w:val="baseline"/>
                <w:lang w:val="en-US" w:eastAsia="zh-CN"/>
              </w:rPr>
              <w:t>160</w:t>
            </w:r>
          </w:p>
        </w:tc>
        <w:tc>
          <w:tcPr>
            <w:tcW w:w="1020" w:type="dxa"/>
            <w:vMerge w:val="continue"/>
            <w:vAlign w:val="top"/>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p>
        </w:tc>
        <w:tc>
          <w:tcPr>
            <w:tcW w:w="930" w:type="dxa"/>
            <w:vAlign w:val="top"/>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Style w:val="4"/>
                <w:rFonts w:hint="eastAsia"/>
                <w:b w:val="0"/>
                <w:bCs w:val="0"/>
                <w:color w:val="auto"/>
                <w:sz w:val="24"/>
                <w:szCs w:val="24"/>
                <w:lang w:val="en-US" w:eastAsia="zh-CN"/>
              </w:rPr>
            </w:pPr>
            <w:r>
              <w:rPr>
                <w:rStyle w:val="4"/>
                <w:rFonts w:hint="eastAsia"/>
                <w:b w:val="0"/>
                <w:bCs w:val="0"/>
                <w:color w:val="auto"/>
                <w:sz w:val="24"/>
                <w:szCs w:val="24"/>
                <w:lang w:val="en-US" w:eastAsia="zh-CN"/>
              </w:rPr>
              <w:t>2016</w:t>
            </w:r>
          </w:p>
        </w:tc>
        <w:tc>
          <w:tcPr>
            <w:tcW w:w="976" w:type="dxa"/>
            <w:vAlign w:val="top"/>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Style w:val="4"/>
                <w:rFonts w:hint="eastAsia"/>
                <w:b w:val="0"/>
                <w:bCs w:val="0"/>
                <w:color w:val="auto"/>
                <w:sz w:val="24"/>
                <w:szCs w:val="24"/>
                <w:lang w:val="en-US" w:eastAsia="zh-CN"/>
              </w:rPr>
            </w:pPr>
            <w:r>
              <w:rPr>
                <w:rStyle w:val="4"/>
                <w:rFonts w:hint="eastAsia"/>
                <w:b w:val="0"/>
                <w:bCs w:val="0"/>
                <w:color w:val="auto"/>
                <w:sz w:val="24"/>
                <w:szCs w:val="24"/>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2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2"/>
                <w:szCs w:val="22"/>
                <w:vertAlign w:val="baseline"/>
                <w:lang w:val="en-US" w:eastAsia="zh-CN"/>
              </w:rPr>
              <w:t>美发与形象设计</w:t>
            </w:r>
          </w:p>
        </w:tc>
        <w:tc>
          <w:tcPr>
            <w:tcW w:w="78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112</w:t>
            </w:r>
          </w:p>
        </w:tc>
        <w:tc>
          <w:tcPr>
            <w:tcW w:w="90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105</w:t>
            </w:r>
          </w:p>
        </w:tc>
        <w:tc>
          <w:tcPr>
            <w:tcW w:w="84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76</w:t>
            </w:r>
          </w:p>
        </w:tc>
        <w:tc>
          <w:tcPr>
            <w:tcW w:w="88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80</w:t>
            </w:r>
          </w:p>
        </w:tc>
        <w:tc>
          <w:tcPr>
            <w:tcW w:w="91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338</w:t>
            </w:r>
          </w:p>
        </w:tc>
        <w:tc>
          <w:tcPr>
            <w:tcW w:w="102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1.9:1</w:t>
            </w:r>
          </w:p>
        </w:tc>
        <w:tc>
          <w:tcPr>
            <w:tcW w:w="93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180</w:t>
            </w:r>
          </w:p>
        </w:tc>
        <w:tc>
          <w:tcPr>
            <w:tcW w:w="9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12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美容</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美体</w:t>
            </w:r>
          </w:p>
        </w:tc>
        <w:tc>
          <w:tcPr>
            <w:tcW w:w="78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61</w:t>
            </w:r>
          </w:p>
        </w:tc>
        <w:tc>
          <w:tcPr>
            <w:tcW w:w="90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46</w:t>
            </w:r>
          </w:p>
        </w:tc>
        <w:tc>
          <w:tcPr>
            <w:tcW w:w="84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27</w:t>
            </w:r>
          </w:p>
        </w:tc>
        <w:tc>
          <w:tcPr>
            <w:tcW w:w="88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25</w:t>
            </w:r>
          </w:p>
        </w:tc>
        <w:tc>
          <w:tcPr>
            <w:tcW w:w="91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132</w:t>
            </w:r>
          </w:p>
        </w:tc>
        <w:tc>
          <w:tcPr>
            <w:tcW w:w="102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全女</w:t>
            </w:r>
          </w:p>
        </w:tc>
        <w:tc>
          <w:tcPr>
            <w:tcW w:w="93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270</w:t>
            </w:r>
          </w:p>
        </w:tc>
        <w:tc>
          <w:tcPr>
            <w:tcW w:w="9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12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数字影像技术</w:t>
            </w:r>
          </w:p>
        </w:tc>
        <w:tc>
          <w:tcPr>
            <w:tcW w:w="78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120</w:t>
            </w:r>
          </w:p>
        </w:tc>
        <w:tc>
          <w:tcPr>
            <w:tcW w:w="90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121</w:t>
            </w:r>
          </w:p>
        </w:tc>
        <w:tc>
          <w:tcPr>
            <w:tcW w:w="84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93</w:t>
            </w:r>
          </w:p>
        </w:tc>
        <w:tc>
          <w:tcPr>
            <w:tcW w:w="88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108</w:t>
            </w:r>
          </w:p>
        </w:tc>
        <w:tc>
          <w:tcPr>
            <w:tcW w:w="91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2"/>
                <w:szCs w:val="22"/>
                <w:vertAlign w:val="baseline"/>
                <w:lang w:val="en-US" w:eastAsia="zh-CN"/>
              </w:rPr>
              <w:t>950</w:t>
            </w:r>
          </w:p>
        </w:tc>
        <w:tc>
          <w:tcPr>
            <w:tcW w:w="102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1.5:1</w:t>
            </w:r>
          </w:p>
        </w:tc>
        <w:tc>
          <w:tcPr>
            <w:tcW w:w="93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25</w:t>
            </w:r>
          </w:p>
        </w:tc>
        <w:tc>
          <w:tcPr>
            <w:tcW w:w="9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2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美术设计与制作</w:t>
            </w:r>
          </w:p>
        </w:tc>
        <w:tc>
          <w:tcPr>
            <w:tcW w:w="78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56</w:t>
            </w:r>
          </w:p>
        </w:tc>
        <w:tc>
          <w:tcPr>
            <w:tcW w:w="90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30（减1班）</w:t>
            </w:r>
          </w:p>
        </w:tc>
        <w:tc>
          <w:tcPr>
            <w:tcW w:w="84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28</w:t>
            </w:r>
          </w:p>
        </w:tc>
        <w:tc>
          <w:tcPr>
            <w:tcW w:w="88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60</w:t>
            </w:r>
          </w:p>
        </w:tc>
        <w:tc>
          <w:tcPr>
            <w:tcW w:w="91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132</w:t>
            </w:r>
          </w:p>
        </w:tc>
        <w:tc>
          <w:tcPr>
            <w:tcW w:w="102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4"/>
                <w:szCs w:val="24"/>
                <w:vertAlign w:val="baseline"/>
                <w:lang w:val="en-US" w:eastAsia="zh-CN"/>
              </w:rPr>
            </w:pPr>
            <w:r>
              <w:rPr>
                <w:rFonts w:hint="eastAsia" w:ascii="仿宋_GB2312" w:hAnsi="Calibri" w:eastAsia="仿宋_GB2312"/>
                <w:b w:val="0"/>
                <w:bCs w:val="0"/>
                <w:color w:val="auto"/>
                <w:sz w:val="24"/>
                <w:szCs w:val="24"/>
                <w:vertAlign w:val="baseline"/>
                <w:lang w:val="en-US" w:eastAsia="zh-CN"/>
              </w:rPr>
              <w:t>1.6:1</w:t>
            </w:r>
          </w:p>
        </w:tc>
        <w:tc>
          <w:tcPr>
            <w:tcW w:w="93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30</w:t>
            </w:r>
          </w:p>
        </w:tc>
        <w:tc>
          <w:tcPr>
            <w:tcW w:w="9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trPr>
        <w:tc>
          <w:tcPr>
            <w:tcW w:w="12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合计</w:t>
            </w:r>
          </w:p>
        </w:tc>
        <w:tc>
          <w:tcPr>
            <w:tcW w:w="78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349</w:t>
            </w:r>
          </w:p>
        </w:tc>
        <w:tc>
          <w:tcPr>
            <w:tcW w:w="90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302</w:t>
            </w:r>
          </w:p>
        </w:tc>
        <w:tc>
          <w:tcPr>
            <w:tcW w:w="84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224</w:t>
            </w:r>
          </w:p>
        </w:tc>
        <w:tc>
          <w:tcPr>
            <w:tcW w:w="88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273</w:t>
            </w:r>
          </w:p>
        </w:tc>
        <w:tc>
          <w:tcPr>
            <w:tcW w:w="915"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950</w:t>
            </w:r>
          </w:p>
        </w:tc>
        <w:tc>
          <w:tcPr>
            <w:tcW w:w="102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1.04：1</w:t>
            </w:r>
          </w:p>
        </w:tc>
        <w:tc>
          <w:tcPr>
            <w:tcW w:w="930"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505</w:t>
            </w:r>
          </w:p>
        </w:tc>
        <w:tc>
          <w:tcPr>
            <w:tcW w:w="976"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670</w:t>
            </w:r>
          </w:p>
        </w:tc>
      </w:tr>
    </w:tbl>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1.3教师队伍</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2017年学校招聘在编研究生学历新教师一名。目前学校教职工总人数为106人，其中在编教师 99人，聘用教师7人。学校“双师型”教师比例为86.04% ，兼职教师比例为7.5%。专任教师本科以上学历为89人，占比95.70% ，硕士以上学历21人，占比22.58%。学校目前有高级职称教师34人，占比36.56%。技师以上教师24人，占比55.81%。目前，学校拥有全国技术能手称号教师六人，浙江省春蚕奖教师一人，杭州市教坛新秀6人，省中职技能大师一人，省中职名师一人。</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1.4设施设备</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学校目前拥有运动场地3160平方米，能基本满足师生体育运动所需。各专业校内实习实训场地、设施齐备。</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美发与形象设计专业拥有实训教室7间，面积605平方米，实习工位200个，专业仪器设备614台套；美容美体专业拥有实训教室6间，面积375.84平方米，实习工位102个，专业仪器设备567台套；数字影像专业拥有专业实训教室（含机房、影棚等）13间，面积1131平方米，实习工位350个，专业仪器设备786台套；美术设计与制作专业拥有专业实训教室（画室及教具陈列室）5间，面积408平方米，实习工位175个，专业仪器设备240台套。</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学校拥有学生阅览室93平米，教师阅览室93平米，2017年新增各类纸质图书2600册，价值13万元。订阅报刊杂志163种。</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p>
    <w:p>
      <w:pPr>
        <w:pStyle w:val="2"/>
        <w:shd w:val="clear" w:color="auto" w:fill="FFFFFF"/>
        <w:spacing w:before="0" w:beforeAutospacing="0" w:after="0" w:afterAutospacing="0" w:line="555" w:lineRule="atLeast"/>
        <w:ind w:firstLine="480"/>
        <w:jc w:val="center"/>
        <w:rPr>
          <w:rFonts w:hint="eastAsia" w:ascii="仿宋_GB2312" w:hAnsi="Calibri" w:eastAsia="仿宋_GB2312"/>
          <w:color w:val="000000"/>
          <w:sz w:val="32"/>
          <w:szCs w:val="32"/>
          <w:lang w:val="en-US" w:eastAsia="zh-CN"/>
        </w:rPr>
      </w:pPr>
      <w:r>
        <w:rPr>
          <w:rFonts w:hint="eastAsia" w:ascii="仿宋_GB2312" w:hAnsi="Calibri" w:eastAsia="仿宋_GB2312"/>
          <w:color w:val="000000"/>
          <w:sz w:val="24"/>
          <w:szCs w:val="24"/>
          <w:lang w:val="en-US" w:eastAsia="zh-CN"/>
        </w:rPr>
        <w:t>附表2：各专业设施设备投入情况表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p>
        </w:tc>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形象专业设备投入</w:t>
            </w:r>
          </w:p>
        </w:tc>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美体专业设备投入</w:t>
            </w:r>
          </w:p>
        </w:tc>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数字专业设备投入</w:t>
            </w:r>
          </w:p>
        </w:tc>
        <w:tc>
          <w:tcPr>
            <w:tcW w:w="1218"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美术专业设备投入</w:t>
            </w:r>
          </w:p>
        </w:tc>
        <w:tc>
          <w:tcPr>
            <w:tcW w:w="1218"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当年购买书籍（册）</w:t>
            </w:r>
          </w:p>
        </w:tc>
        <w:tc>
          <w:tcPr>
            <w:tcW w:w="1218"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当年报刊杂志（种）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2016</w:t>
            </w:r>
          </w:p>
        </w:tc>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704,670</w:t>
            </w:r>
          </w:p>
        </w:tc>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106,778</w:t>
            </w:r>
          </w:p>
        </w:tc>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1,365,925</w:t>
            </w:r>
          </w:p>
        </w:tc>
        <w:tc>
          <w:tcPr>
            <w:tcW w:w="1218"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8,960</w:t>
            </w:r>
          </w:p>
        </w:tc>
        <w:tc>
          <w:tcPr>
            <w:tcW w:w="1218"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1500</w:t>
            </w:r>
          </w:p>
        </w:tc>
        <w:tc>
          <w:tcPr>
            <w:tcW w:w="1218"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2017</w:t>
            </w:r>
          </w:p>
        </w:tc>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259,850</w:t>
            </w:r>
          </w:p>
        </w:tc>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1,498,000</w:t>
            </w:r>
          </w:p>
        </w:tc>
        <w:tc>
          <w:tcPr>
            <w:tcW w:w="1217"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22,198</w:t>
            </w:r>
          </w:p>
        </w:tc>
        <w:tc>
          <w:tcPr>
            <w:tcW w:w="1218"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6,500</w:t>
            </w:r>
          </w:p>
        </w:tc>
        <w:tc>
          <w:tcPr>
            <w:tcW w:w="1218"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2600</w:t>
            </w:r>
          </w:p>
        </w:tc>
        <w:tc>
          <w:tcPr>
            <w:tcW w:w="1218" w:type="dxa"/>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163</w:t>
            </w:r>
          </w:p>
        </w:tc>
      </w:tr>
    </w:tbl>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b/>
          <w:color w:val="000000"/>
          <w:sz w:val="28"/>
          <w:szCs w:val="28"/>
        </w:rPr>
      </w:pP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b/>
          <w:color w:val="000000"/>
          <w:sz w:val="28"/>
          <w:szCs w:val="28"/>
        </w:rPr>
      </w:pP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b/>
          <w:color w:val="000000"/>
          <w:sz w:val="28"/>
          <w:szCs w:val="28"/>
        </w:rPr>
        <w:t>2.学生发展</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2.1学生素质</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学校坚持将“学生发展”作为学校发展的第一要务。通过德育浸润、人文培育、专业提升、体质塑造、劳动实践、美育熏陶等途径，不断提升学生素养，2017年在各方面都有较好成绩。</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本着“注重质量、择优发展”的原则，学校团组织进一步强化了团员培养工作，坚持每学期举办团课讲座，邀请学校领导、企业骨干为有入团意向的学生上团课，加强学生的理想信念教育，增强责任担当意识。2017年新发展学生团员60名。</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480"/>
        <w:jc w:val="center"/>
        <w:textAlignment w:val="auto"/>
        <w:rPr>
          <w:rFonts w:hint="eastAsia" w:ascii="仿宋_GB2312" w:hAnsi="Calibri" w:eastAsia="仿宋_GB2312"/>
          <w:color w:val="000000"/>
          <w:sz w:val="24"/>
          <w:szCs w:val="24"/>
          <w:lang w:val="en-US" w:eastAsia="zh-CN"/>
        </w:rPr>
      </w:pPr>
      <w:r>
        <w:rPr>
          <w:rFonts w:hint="eastAsia" w:ascii="仿宋_GB2312" w:hAnsi="Calibri" w:eastAsia="仿宋_GB2312"/>
          <w:color w:val="000000"/>
          <w:sz w:val="24"/>
          <w:szCs w:val="24"/>
          <w:lang w:val="en-US" w:eastAsia="zh-CN"/>
        </w:rPr>
        <w:t>附表三：2017年文化课、专业课统测（抽测）合格率</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480"/>
        <w:jc w:val="center"/>
        <w:textAlignment w:val="auto"/>
        <w:rPr>
          <w:rFonts w:hint="eastAsia" w:ascii="仿宋_GB2312" w:hAnsi="Calibri" w:eastAsia="仿宋_GB2312"/>
          <w:color w:val="000000"/>
          <w:sz w:val="24"/>
          <w:szCs w:val="24"/>
          <w:lang w:val="en-US" w:eastAsia="zh-CN"/>
        </w:rPr>
      </w:pPr>
    </w:p>
    <w:tbl>
      <w:tblPr>
        <w:tblStyle w:val="7"/>
        <w:tblW w:w="8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200"/>
        <w:gridCol w:w="1155"/>
        <w:gridCol w:w="1245"/>
        <w:gridCol w:w="1170"/>
        <w:gridCol w:w="133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1051"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科目</w:t>
            </w:r>
          </w:p>
        </w:tc>
        <w:tc>
          <w:tcPr>
            <w:tcW w:w="1200"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语文</w:t>
            </w:r>
          </w:p>
        </w:tc>
        <w:tc>
          <w:tcPr>
            <w:tcW w:w="115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数学</w:t>
            </w:r>
          </w:p>
        </w:tc>
        <w:tc>
          <w:tcPr>
            <w:tcW w:w="124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英语</w:t>
            </w:r>
          </w:p>
        </w:tc>
        <w:tc>
          <w:tcPr>
            <w:tcW w:w="1170"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计算机</w:t>
            </w:r>
          </w:p>
        </w:tc>
        <w:tc>
          <w:tcPr>
            <w:tcW w:w="133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素描</w:t>
            </w:r>
          </w:p>
        </w:tc>
        <w:tc>
          <w:tcPr>
            <w:tcW w:w="127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色彩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1"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合格率</w:t>
            </w:r>
          </w:p>
        </w:tc>
        <w:tc>
          <w:tcPr>
            <w:tcW w:w="1200"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未测</w:t>
            </w:r>
          </w:p>
        </w:tc>
        <w:tc>
          <w:tcPr>
            <w:tcW w:w="115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74.6%</w:t>
            </w:r>
          </w:p>
        </w:tc>
        <w:tc>
          <w:tcPr>
            <w:tcW w:w="124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未测</w:t>
            </w:r>
          </w:p>
        </w:tc>
        <w:tc>
          <w:tcPr>
            <w:tcW w:w="1170"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96.5%</w:t>
            </w:r>
          </w:p>
        </w:tc>
        <w:tc>
          <w:tcPr>
            <w:tcW w:w="133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100%</w:t>
            </w:r>
          </w:p>
        </w:tc>
        <w:tc>
          <w:tcPr>
            <w:tcW w:w="127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100%</w:t>
            </w:r>
          </w:p>
        </w:tc>
      </w:tr>
    </w:tbl>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center"/>
        <w:textAlignment w:val="auto"/>
        <w:outlineLvl w:val="9"/>
        <w:rPr>
          <w:rFonts w:hint="eastAsia" w:ascii="仿宋_GB2312" w:hAnsi="Calibri" w:eastAsia="仿宋_GB2312"/>
          <w:color w:val="000000"/>
          <w:sz w:val="24"/>
          <w:szCs w:val="24"/>
          <w:lang w:val="en-US" w:eastAsia="zh-CN"/>
        </w:rPr>
      </w:pP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rightChars="0" w:firstLine="482" w:firstLineChars="0"/>
        <w:jc w:val="center"/>
        <w:textAlignment w:val="auto"/>
        <w:outlineLvl w:val="9"/>
        <w:rPr>
          <w:rFonts w:hint="eastAsia" w:ascii="仿宋_GB2312" w:hAnsi="Calibri" w:eastAsia="仿宋_GB2312"/>
          <w:b/>
          <w:bCs/>
          <w:color w:val="FFC000"/>
          <w:sz w:val="32"/>
          <w:szCs w:val="32"/>
          <w:lang w:val="en-US" w:eastAsia="zh-CN"/>
        </w:rPr>
      </w:pPr>
      <w:r>
        <w:rPr>
          <w:rFonts w:hint="eastAsia" w:ascii="仿宋_GB2312" w:hAnsi="Calibri" w:eastAsia="仿宋_GB2312"/>
          <w:color w:val="000000"/>
          <w:sz w:val="24"/>
          <w:szCs w:val="24"/>
          <w:lang w:val="en-US" w:eastAsia="zh-CN"/>
        </w:rPr>
        <w:t>附表四：2017年专业技能考试通过率</w:t>
      </w:r>
    </w:p>
    <w:tbl>
      <w:tblPr>
        <w:tblStyle w:val="7"/>
        <w:tblpPr w:leftFromText="180" w:rightFromText="180" w:vertAnchor="text" w:horzAnchor="page" w:tblpX="1792" w:tblpY="225"/>
        <w:tblOverlap w:val="never"/>
        <w:tblW w:w="8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320"/>
        <w:gridCol w:w="1350"/>
        <w:gridCol w:w="1320"/>
        <w:gridCol w:w="1710"/>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0"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科目</w:t>
            </w:r>
          </w:p>
        </w:tc>
        <w:tc>
          <w:tcPr>
            <w:tcW w:w="132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美发初级工</w:t>
            </w:r>
          </w:p>
        </w:tc>
        <w:tc>
          <w:tcPr>
            <w:tcW w:w="135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美容初级工</w:t>
            </w:r>
          </w:p>
        </w:tc>
        <w:tc>
          <w:tcPr>
            <w:tcW w:w="132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摄影初级工</w:t>
            </w:r>
          </w:p>
        </w:tc>
        <w:tc>
          <w:tcPr>
            <w:tcW w:w="171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化妆初级工</w:t>
            </w:r>
          </w:p>
        </w:tc>
        <w:tc>
          <w:tcPr>
            <w:tcW w:w="1761"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装饰美工初级工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0"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合格率</w:t>
            </w:r>
          </w:p>
        </w:tc>
        <w:tc>
          <w:tcPr>
            <w:tcW w:w="132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100%</w:t>
            </w:r>
          </w:p>
        </w:tc>
        <w:tc>
          <w:tcPr>
            <w:tcW w:w="135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100%</w:t>
            </w:r>
          </w:p>
        </w:tc>
        <w:tc>
          <w:tcPr>
            <w:tcW w:w="132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100%</w:t>
            </w:r>
          </w:p>
        </w:tc>
        <w:tc>
          <w:tcPr>
            <w:tcW w:w="171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100%</w:t>
            </w:r>
          </w:p>
        </w:tc>
        <w:tc>
          <w:tcPr>
            <w:tcW w:w="1761"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100%</w:t>
            </w:r>
          </w:p>
        </w:tc>
      </w:tr>
    </w:tbl>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rPr>
      </w:pP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2.2在校体验</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2017年学校针对学生发展的实际需要，通过各条线开展的指向明确的主题活动，帮助学生提升学习的获得感、生活的幸福感、从而树立专业学习的自信，确立未来职业发展的目标。</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学生处以月度为单位，结合学生德育工作，确立活动教育主题，通过黑板报、校园广播、文艺演出、歌咏比赛、主题班会等形式，走思想政治教育与专业素养提升相结合的道路，确保德育效果落到实处。</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教务处通过召开学生代表座谈会、随堂听课等方式，及时了解学生学情，有针对性地把控各班级教学内容与教学进度，想方设法丰富教学手段，确保学生专业课及文化课学习学有所得、学以致用。</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团委学生会则通过创设为学生喜闻乐见的社团方式，招聚学生团队、培养兴趣爱好，拓展综合能力。2017年，学校共创设了插花、街舞、吉他、刺绣、微电影、话剧、陶土、合唱等15个社团，吸收全校近三分之二的学生参与其中。在学生获得感增强的同时也丰富了课余文化，优化了学校育人环境。</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2.3资助情况</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在市、区两级教育资助部门的领导下，学校较好地完成了年度资助工作。共有950位学生享受了国家中职学生免学费政策，26位学生拿到了助学金。学校还想方设法，筹措资金，帮助部分贫困学生解决生活与学习上遇到的暂时性困难。</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2.4就业质量</w:t>
      </w:r>
    </w:p>
    <w:p>
      <w:pPr>
        <w:pStyle w:val="2"/>
        <w:shd w:val="clear" w:color="auto" w:fill="FFFFFF"/>
        <w:spacing w:before="0" w:beforeAutospacing="0" w:after="0" w:afterAutospacing="0" w:line="555" w:lineRule="atLeast"/>
        <w:ind w:firstLine="480"/>
        <w:rPr>
          <w:rFonts w:hint="eastAsia" w:ascii="仿宋_GB2312" w:hAnsi="Calibri" w:eastAsia="仿宋_GB2312"/>
          <w:b/>
          <w:bCs/>
          <w:color w:val="FFC000"/>
          <w:sz w:val="32"/>
          <w:szCs w:val="32"/>
          <w:lang w:val="en-US" w:eastAsia="zh-CN"/>
        </w:rPr>
      </w:pPr>
      <w:r>
        <w:rPr>
          <w:rStyle w:val="4"/>
          <w:rFonts w:hint="eastAsia"/>
          <w:b w:val="0"/>
          <w:bCs w:val="0"/>
          <w:color w:val="000000"/>
          <w:sz w:val="24"/>
          <w:szCs w:val="24"/>
          <w:lang w:val="en-US" w:eastAsia="zh-CN"/>
        </w:rPr>
        <w:t>2017年，学校四大专业共有毕业生273名。其中有109名学生通过高职考试、提前自主招生以及3+2班级入学测试等方式升入高一级学校继续学习。有74名学生因为在实习阶段表现良好，被原实习单位留用。有3位学生，响应国家号召，征召入伍。其余学生也基本上实现了首次就业。</w:t>
      </w:r>
    </w:p>
    <w:p>
      <w:pPr>
        <w:pStyle w:val="2"/>
        <w:shd w:val="clear" w:color="auto" w:fill="FFFFFF"/>
        <w:spacing w:before="0" w:beforeAutospacing="0" w:after="0" w:afterAutospacing="0" w:line="555" w:lineRule="atLeast"/>
        <w:ind w:firstLine="480"/>
        <w:jc w:val="center"/>
        <w:rPr>
          <w:rFonts w:hint="eastAsia" w:ascii="仿宋_GB2312" w:hAnsi="Calibri" w:eastAsia="仿宋_GB2312"/>
          <w:b/>
          <w:bCs/>
          <w:color w:val="FFC000"/>
          <w:sz w:val="32"/>
          <w:szCs w:val="32"/>
          <w:lang w:val="en-US" w:eastAsia="zh-CN"/>
        </w:rPr>
      </w:pPr>
      <w:r>
        <w:rPr>
          <w:rFonts w:hint="eastAsia" w:ascii="仿宋_GB2312" w:hAnsi="Calibri" w:eastAsia="仿宋_GB2312"/>
          <w:color w:val="000000"/>
          <w:sz w:val="24"/>
          <w:szCs w:val="24"/>
          <w:lang w:val="en-US" w:eastAsia="zh-CN"/>
        </w:rPr>
        <w:t>附表五：2017年学校毕业生基本情况</w:t>
      </w:r>
    </w:p>
    <w:tbl>
      <w:tblPr>
        <w:tblStyle w:val="7"/>
        <w:tblW w:w="8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829"/>
        <w:gridCol w:w="1095"/>
        <w:gridCol w:w="1515"/>
        <w:gridCol w:w="153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p>
        </w:tc>
        <w:tc>
          <w:tcPr>
            <w:tcW w:w="1829"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毕业人数</w:t>
            </w:r>
          </w:p>
        </w:tc>
        <w:tc>
          <w:tcPr>
            <w:tcW w:w="109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就业率</w:t>
            </w:r>
          </w:p>
        </w:tc>
        <w:tc>
          <w:tcPr>
            <w:tcW w:w="1515"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就业对口率</w:t>
            </w:r>
          </w:p>
        </w:tc>
        <w:tc>
          <w:tcPr>
            <w:tcW w:w="1530"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升入高校</w:t>
            </w:r>
          </w:p>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人数</w:t>
            </w:r>
          </w:p>
        </w:tc>
        <w:tc>
          <w:tcPr>
            <w:tcW w:w="1260" w:type="dxa"/>
            <w:vAlign w:val="center"/>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初次就业薪酬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2017</w:t>
            </w:r>
          </w:p>
        </w:tc>
        <w:tc>
          <w:tcPr>
            <w:tcW w:w="1829"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273</w:t>
            </w:r>
          </w:p>
        </w:tc>
        <w:tc>
          <w:tcPr>
            <w:tcW w:w="1095" w:type="dxa"/>
            <w:vAlign w:val="top"/>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95.22</w:t>
            </w:r>
          </w:p>
        </w:tc>
        <w:tc>
          <w:tcPr>
            <w:tcW w:w="1515" w:type="dxa"/>
            <w:vAlign w:val="top"/>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82</w:t>
            </w:r>
          </w:p>
        </w:tc>
        <w:tc>
          <w:tcPr>
            <w:tcW w:w="153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109</w:t>
            </w:r>
          </w:p>
        </w:tc>
        <w:tc>
          <w:tcPr>
            <w:tcW w:w="126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2095.1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2016</w:t>
            </w:r>
          </w:p>
        </w:tc>
        <w:tc>
          <w:tcPr>
            <w:tcW w:w="1829"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224</w:t>
            </w:r>
          </w:p>
        </w:tc>
        <w:tc>
          <w:tcPr>
            <w:tcW w:w="1095" w:type="dxa"/>
            <w:vAlign w:val="top"/>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77.23</w:t>
            </w:r>
          </w:p>
        </w:tc>
        <w:tc>
          <w:tcPr>
            <w:tcW w:w="1515" w:type="dxa"/>
            <w:vAlign w:val="top"/>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59.37</w:t>
            </w:r>
          </w:p>
        </w:tc>
        <w:tc>
          <w:tcPr>
            <w:tcW w:w="153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89</w:t>
            </w:r>
          </w:p>
        </w:tc>
        <w:tc>
          <w:tcPr>
            <w:tcW w:w="1260" w:type="dxa"/>
          </w:tcPr>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outlineLvl w:val="9"/>
              <w:rPr>
                <w:rFonts w:hint="eastAsia" w:ascii="仿宋_GB2312" w:hAnsi="Calibri" w:eastAsia="仿宋_GB2312"/>
                <w:b w:val="0"/>
                <w:bCs w:val="0"/>
                <w:color w:val="auto"/>
                <w:sz w:val="22"/>
                <w:szCs w:val="22"/>
                <w:vertAlign w:val="baseline"/>
                <w:lang w:val="en-US" w:eastAsia="zh-CN"/>
              </w:rPr>
            </w:pPr>
            <w:r>
              <w:rPr>
                <w:rFonts w:hint="eastAsia" w:ascii="仿宋_GB2312" w:hAnsi="Calibri" w:eastAsia="仿宋_GB2312"/>
                <w:b w:val="0"/>
                <w:bCs w:val="0"/>
                <w:color w:val="auto"/>
                <w:sz w:val="22"/>
                <w:szCs w:val="22"/>
                <w:vertAlign w:val="baseline"/>
                <w:lang w:val="en-US" w:eastAsia="zh-CN"/>
              </w:rPr>
              <w:t>1666.4</w:t>
            </w:r>
          </w:p>
        </w:tc>
      </w:tr>
    </w:tbl>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2.5职业发展</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始终把提升学生的综合职业能力作为学校教学的重要抓手，不断提升学生的职业素养与能力。在本年度，杭州市职业能力大赛上，我校师生通过努力，共获得一等奖一项，二等奖三项，三等奖五项，创近年来参赛最好成绩。</w:t>
      </w:r>
    </w:p>
    <w:p>
      <w:pPr>
        <w:pStyle w:val="2"/>
        <w:shd w:val="clear" w:color="auto" w:fill="FFFFFF"/>
        <w:spacing w:before="0" w:beforeAutospacing="0" w:after="0" w:afterAutospacing="0" w:line="555" w:lineRule="atLeast"/>
        <w:ind w:firstLine="480"/>
        <w:jc w:val="center"/>
        <w:rPr>
          <w:rFonts w:hint="eastAsia" w:ascii="仿宋_GB2312" w:hAnsi="Calibri" w:eastAsia="仿宋_GB2312"/>
          <w:color w:val="000000"/>
          <w:sz w:val="24"/>
          <w:szCs w:val="24"/>
          <w:lang w:val="en-US" w:eastAsia="zh-CN"/>
        </w:rPr>
      </w:pPr>
      <w:r>
        <w:rPr>
          <w:rFonts w:hint="eastAsia" w:ascii="仿宋_GB2312" w:hAnsi="Calibri" w:eastAsia="仿宋_GB2312"/>
          <w:color w:val="000000"/>
          <w:sz w:val="24"/>
          <w:szCs w:val="24"/>
          <w:lang w:val="en-US" w:eastAsia="zh-CN"/>
        </w:rPr>
        <w:t>附表六：2017年学校在市职业能力大赛获奖情况</w:t>
      </w:r>
    </w:p>
    <w:tbl>
      <w:tblPr>
        <w:tblStyle w:val="6"/>
        <w:tblW w:w="84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9"/>
        <w:gridCol w:w="2760"/>
        <w:gridCol w:w="3655"/>
        <w:gridCol w:w="9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lang w:val="en-US" w:eastAsia="zh-CN"/>
              </w:rPr>
            </w:pPr>
            <w:r>
              <w:rPr>
                <w:rFonts w:hint="eastAsia" w:ascii="宋体" w:hAnsi="宋体" w:eastAsia="宋体" w:cs="宋体"/>
                <w:i w:val="0"/>
                <w:color w:val="auto"/>
                <w:sz w:val="22"/>
                <w:szCs w:val="22"/>
                <w:u w:val="none"/>
                <w:shd w:val="clear" w:color="auto" w:fill="auto"/>
                <w:lang w:val="en-US" w:eastAsia="zh-CN"/>
              </w:rPr>
              <w:t>序号</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lang w:val="en-US" w:eastAsia="zh-CN"/>
              </w:rPr>
            </w:pPr>
            <w:r>
              <w:rPr>
                <w:rFonts w:hint="eastAsia" w:ascii="宋体" w:hAnsi="宋体" w:eastAsia="宋体" w:cs="宋体"/>
                <w:i w:val="0"/>
                <w:color w:val="auto"/>
                <w:sz w:val="22"/>
                <w:szCs w:val="22"/>
                <w:u w:val="none"/>
                <w:shd w:val="clear" w:color="auto" w:fill="auto"/>
                <w:lang w:val="en-US" w:eastAsia="zh-CN"/>
              </w:rPr>
              <w:t>学生姓名</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lang w:val="en-US" w:eastAsia="zh-CN"/>
              </w:rPr>
            </w:pPr>
            <w:r>
              <w:rPr>
                <w:rFonts w:hint="eastAsia" w:ascii="宋体" w:hAnsi="宋体" w:eastAsia="宋体" w:cs="宋体"/>
                <w:i w:val="0"/>
                <w:color w:val="auto"/>
                <w:sz w:val="22"/>
                <w:szCs w:val="22"/>
                <w:u w:val="none"/>
                <w:shd w:val="clear" w:color="auto" w:fill="auto"/>
                <w:lang w:val="en-US" w:eastAsia="zh-CN"/>
              </w:rPr>
              <w:t>参赛项目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lang w:val="en-US" w:eastAsia="zh-CN"/>
              </w:rPr>
            </w:pPr>
            <w:r>
              <w:rPr>
                <w:rFonts w:hint="eastAsia" w:ascii="宋体" w:hAnsi="宋体" w:eastAsia="宋体" w:cs="宋体"/>
                <w:i w:val="0"/>
                <w:color w:val="auto"/>
                <w:sz w:val="22"/>
                <w:szCs w:val="22"/>
                <w:u w:val="none"/>
                <w:shd w:val="clear" w:color="auto" w:fill="auto"/>
                <w:lang w:val="en-US" w:eastAsia="zh-CN"/>
              </w:rPr>
              <w:t>奖项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1</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包文静</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基础美术</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一等奖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2</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郑文慧，刘萍，罗煜杰</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网络搜索学生团体</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3</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童崇华</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数字影音后期制作</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4</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谢晓宇</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数字影音后期制作</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5</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魏丹，陈可颖</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外语歌曲比赛</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6</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陈瑞霖</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英语配音比赛</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7</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马一鸣</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数字影音后期制作</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8</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刘明月</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图形图像处理技术</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shd w:val="clear" w:color="auto" w:fill="auto"/>
              </w:rPr>
            </w:pPr>
            <w:r>
              <w:rPr>
                <w:rFonts w:hint="eastAsia" w:ascii="宋体" w:hAnsi="宋体" w:eastAsia="宋体" w:cs="宋体"/>
                <w:i w:val="0"/>
                <w:color w:val="auto"/>
                <w:kern w:val="0"/>
                <w:sz w:val="22"/>
                <w:szCs w:val="22"/>
                <w:u w:val="none"/>
                <w:shd w:val="clear" w:color="auto" w:fill="auto"/>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9</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夏玲</w:t>
            </w:r>
          </w:p>
        </w:tc>
        <w:tc>
          <w:tcPr>
            <w:tcW w:w="3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基础美术</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u w:val="none"/>
                <w:shd w:val="clear" w:color="auto" w:fill="auto"/>
                <w:lang w:val="en-US" w:eastAsia="zh-CN" w:bidi="ar"/>
              </w:rPr>
            </w:pPr>
            <w:r>
              <w:rPr>
                <w:rFonts w:hint="eastAsia" w:ascii="宋体" w:hAnsi="宋体" w:eastAsia="宋体" w:cs="宋体"/>
                <w:i w:val="0"/>
                <w:color w:val="auto"/>
                <w:kern w:val="0"/>
                <w:sz w:val="22"/>
                <w:szCs w:val="22"/>
                <w:u w:val="none"/>
                <w:shd w:val="clear" w:color="auto" w:fill="auto"/>
                <w:lang w:val="en-US" w:eastAsia="zh-CN" w:bidi="ar"/>
              </w:rPr>
              <w:t>三等奖</w:t>
            </w:r>
          </w:p>
        </w:tc>
      </w:tr>
    </w:tbl>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在2017年第十三届全国中等职业学校“文明风采”总决赛上，我校荣获优秀组织奖，一位老师获优秀指导老师奖，四个作品分获二、三等奖，获奖数在全市处于领先位置。</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还在各级各类行业比赛中取得了较好的成绩。形象设计专业师生在全国美发、美容行业大赛中获得两金一银；美术专业学生在中国国际动漫节绘画比赛中一金两银两铜；数字影像专业学生摘得省职业能力大赛影视后期制作三等奖。</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b/>
          <w:color w:val="000000"/>
          <w:sz w:val="32"/>
          <w:szCs w:val="32"/>
        </w:rPr>
      </w:pPr>
      <w:r>
        <w:rPr>
          <w:rFonts w:hint="eastAsia" w:ascii="仿宋_GB2312" w:hAnsi="Calibri" w:eastAsia="仿宋_GB2312"/>
          <w:b/>
          <w:color w:val="000000"/>
          <w:sz w:val="28"/>
          <w:szCs w:val="28"/>
        </w:rPr>
        <w:t>3.质量保障措施</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lang w:val="en-US" w:eastAsia="zh-CN"/>
        </w:rPr>
      </w:pPr>
      <w:r>
        <w:rPr>
          <w:rFonts w:hint="eastAsia" w:ascii="仿宋_GB2312" w:hAnsi="Calibri" w:eastAsia="仿宋_GB2312"/>
          <w:color w:val="000000"/>
          <w:sz w:val="28"/>
          <w:szCs w:val="28"/>
          <w:lang w:val="en-US" w:eastAsia="zh-CN"/>
        </w:rPr>
        <w:t>3.1专业动态调整</w:t>
      </w:r>
    </w:p>
    <w:p>
      <w:pPr>
        <w:pStyle w:val="2"/>
        <w:shd w:val="clear" w:color="auto" w:fill="FFFFFF"/>
        <w:spacing w:before="0" w:beforeAutospacing="0" w:after="0" w:afterAutospacing="0" w:line="555" w:lineRule="atLeast"/>
        <w:ind w:firstLine="481"/>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对现有专业进行了局部微调。一方面重新恢复了与浙江纺织服装职业技术学院联办的美发与形象设计高职方向班级，并从原先的3+2班提升为五年一贯制班级，满足了该专业学生家长希望进一步提升专业学历的需求，另一方面，取消了生源质量相对较弱的美术专业三年制普通班的招生，进而专注于该专业五年一贯制班级的教学。从调整后的招生情况看，报考数量及生源质量都有了较大幅度的提高。美术五年制班级甚至出现了4.5:1的高报读比例，创开办以来最高。</w:t>
      </w:r>
    </w:p>
    <w:p>
      <w:pPr>
        <w:pStyle w:val="2"/>
        <w:shd w:val="clear" w:color="auto" w:fill="FFFFFF"/>
        <w:spacing w:before="0" w:beforeAutospacing="0" w:after="0" w:afterAutospacing="0" w:line="555" w:lineRule="atLeast"/>
        <w:rPr>
          <w:rFonts w:hint="eastAsia" w:ascii="仿宋_GB2312" w:hAnsi="Calibri" w:eastAsia="仿宋_GB2312"/>
          <w:color w:val="000000"/>
          <w:sz w:val="32"/>
          <w:szCs w:val="32"/>
          <w:lang w:val="en-US" w:eastAsia="zh-CN"/>
        </w:rPr>
      </w:pPr>
      <w:r>
        <w:rPr>
          <w:rFonts w:hint="eastAsia" w:ascii="仿宋_GB2312" w:hAnsi="Calibri" w:eastAsia="仿宋_GB2312"/>
          <w:color w:val="000000"/>
          <w:sz w:val="32"/>
          <w:szCs w:val="32"/>
          <w:lang w:val="en-US" w:eastAsia="zh-CN"/>
        </w:rPr>
        <w:t xml:space="preserve">    </w:t>
      </w:r>
      <w:r>
        <w:rPr>
          <w:rStyle w:val="4"/>
          <w:rFonts w:hint="eastAsia"/>
          <w:b w:val="0"/>
          <w:bCs w:val="0"/>
          <w:color w:val="000000"/>
          <w:sz w:val="24"/>
          <w:szCs w:val="24"/>
          <w:lang w:val="en-US" w:eastAsia="zh-CN"/>
        </w:rPr>
        <w:t>2017年，学校适度调整了美发与形象设计专业的教学指导方案，增加了部分与世界技能大赛美发项目要求相关的教学内容，以体现世赛对专业教学的导向作用，帮助学生更好地掌握时效性较强的新技能。</w:t>
      </w:r>
      <w:r>
        <w:rPr>
          <w:rFonts w:hint="eastAsia" w:ascii="仿宋_GB2312" w:hAnsi="Calibri" w:eastAsia="仿宋_GB2312"/>
          <w:color w:val="000000"/>
          <w:sz w:val="32"/>
          <w:szCs w:val="32"/>
          <w:lang w:val="en-US" w:eastAsia="zh-CN"/>
        </w:rPr>
        <w:t xml:space="preserve">  </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3.2教育教学改革</w:t>
      </w:r>
    </w:p>
    <w:p>
      <w:pPr>
        <w:pStyle w:val="2"/>
        <w:shd w:val="clear" w:color="auto" w:fill="FFFFFF"/>
        <w:spacing w:before="0" w:beforeAutospacing="0" w:after="0" w:afterAutospacing="0" w:line="555" w:lineRule="atLeast"/>
        <w:ind w:firstLine="480"/>
        <w:jc w:val="both"/>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2017年是学校全面提升教学质量的一年，在教育教学方面推出了多项改革举措，收到了一定的实际效果。</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lang w:val="en-US" w:eastAsia="zh-CN"/>
        </w:rPr>
      </w:pPr>
      <w:r>
        <w:rPr>
          <w:rFonts w:hint="eastAsia" w:ascii="仿宋_GB2312" w:hAnsi="Calibri" w:eastAsia="仿宋_GB2312"/>
          <w:color w:val="000000"/>
          <w:sz w:val="28"/>
          <w:szCs w:val="28"/>
          <w:lang w:val="en-US" w:eastAsia="zh-CN"/>
        </w:rPr>
        <w:t>3.2.1中职课改</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从2016年起，学校结合自身情况开始了新一轮专业课程改革。本次改革，主要体现在对学生选择权的尊重与保障方面。2017年，学校对2016级学生进行了首次未来发展方向的调查，并在此基础上提前一学年完成了升学与就业方向的大致确认，重新组班，依照不同发展方向开设有针对性的课程学习。升学班突出理论基础课教学，以夯实双基；就业班则引进企业师傅授课，缩短校企衔接距离。</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lang w:val="en-US" w:eastAsia="zh-CN"/>
        </w:rPr>
      </w:pPr>
      <w:r>
        <w:rPr>
          <w:rFonts w:hint="eastAsia" w:ascii="仿宋_GB2312" w:hAnsi="Calibri" w:eastAsia="仿宋_GB2312"/>
          <w:color w:val="000000"/>
          <w:sz w:val="28"/>
          <w:szCs w:val="28"/>
          <w:lang w:val="en-US" w:eastAsia="zh-CN"/>
        </w:rPr>
        <w:t>3.2.2实施质量提升工程，强化主体专业建设</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校始终把教学质量提升作为发展的重点工作，借力省、市十三五期间推出的中职质量提升工程，继2016年学校申报的吉正龙技能大师工作室成功立项之后，2017年，学校又有多个项目获得省市立项。其中，形象设计专业获省优势特色专业立项、孔晶晶技能工作室获省名师工作室立项；职普融通项目、中职名校长项目、中职名师项目分获杭州市立项。上述建设项目的成功申报，确保了学校主干专业建设的可持续发展，为进一步做强做精品牌专业提供了资金与政策保障。</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3.2.3师资队伍、课程建设</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加大了师资队伍建设步伐。为进一步优化教师结构队伍，在区教育局的支持下，学校完成了对音乐课教师的公开招聘工作，确保了学校艺术教育正常进行。学校有三名教师参加了杭州市新锐教师培养计划、1名教师获杭州市中职教坛新秀称号、1名教师获拱墅区“十佳班主任”称号、各有1名教师获评拱墅区“运河名师”及学科带头人。</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在选择性课改过程中，通过校内挖掘潜力，2017年全校共有36位教师先后开发了48门选修课程，所开课程以动手操作为特点，涵盖了学校各个教研组，旨在培养学生细致、耐心、精益求精的核心素养。经过一年的运作，无论是课程内容还是开课形式都受到了学生好评，成为学校学生参与度最高的课程。</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lang w:val="en-US" w:eastAsia="zh-CN"/>
        </w:rPr>
      </w:pPr>
      <w:r>
        <w:rPr>
          <w:rFonts w:hint="eastAsia" w:ascii="仿宋_GB2312" w:hAnsi="Calibri" w:eastAsia="仿宋_GB2312"/>
          <w:color w:val="000000"/>
          <w:sz w:val="28"/>
          <w:szCs w:val="28"/>
          <w:lang w:val="en-US" w:eastAsia="zh-CN"/>
        </w:rPr>
        <w:t>3.2.4人才培养模式改革</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进一步拓宽人才培养模式改革渠道。继与佳丽摄影成功创设数字影像技术专业现代学徒制班级之后，2017年9月，学校又与苑苑集团一起创办了美发与形象设计专业现代学徒制班级。目前，各个试点班级教育教学工作进展有序，学校与企业沟通顺畅，企业文化与专业技能师傅逐渐融入学校教学，企业见习活动顺利进行。</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3.2.5信息化教学</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在所有教室配备了先进的信息化教学终端，教师信息化教学素养得到有效提升。学校结合专业特点，开发了“丽人会”移动学习平台，初步完成了全天候泛在学习环境的构建。学校还与北京秒境界科技有限公司合作，引进了多功能智能化教学工作平台——妙镜台。形象设计专业的师生可以借助该平台完成换装、设计、查询等一系列信息化教学，提高教学效率。学校目前是中央电教馆第二批数字化示范校建设单位。</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lang w:val="en-US" w:eastAsia="zh-CN"/>
        </w:rPr>
      </w:pPr>
      <w:r>
        <w:rPr>
          <w:rFonts w:hint="eastAsia" w:ascii="仿宋_GB2312" w:hAnsi="Calibri" w:eastAsia="仿宋_GB2312"/>
          <w:color w:val="000000"/>
          <w:sz w:val="28"/>
          <w:szCs w:val="28"/>
          <w:lang w:val="en-US" w:eastAsia="zh-CN"/>
        </w:rPr>
        <w:t>3.2.6实训基地、教学资源建设</w:t>
      </w:r>
    </w:p>
    <w:p>
      <w:pPr>
        <w:pStyle w:val="2"/>
        <w:shd w:val="clear" w:color="auto" w:fill="FFFFFF"/>
        <w:spacing w:before="0" w:beforeAutospacing="0" w:after="0" w:afterAutospacing="0" w:line="555" w:lineRule="atLeast"/>
        <w:ind w:firstLine="480"/>
        <w:jc w:val="both"/>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作为杭州市公共实训基地，学校位于湖墅南路227号的实训基地在2017年完成了多项建设任务，引进了吉正龙、房翔等多位行业技术大师进驻基地。基地成功申报世界技能大赛美发项目国家队训练基地，完成了第44届世赛美发项目选手赛前备战服务工作，为选手在比赛中取得好成绩做出了应有的贡献。学校重视专业教学资源的建设与收集工作，利用专业优势，完成了对世赛美发项目各个模块标准化造型微课的拍摄任务，协助高等教育出版社完成了《美容美体》专业核心课程教学重点、难点技术微课的拍摄工作。</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lang w:val="en-US" w:eastAsia="zh-CN"/>
        </w:rPr>
      </w:pPr>
      <w:r>
        <w:rPr>
          <w:rFonts w:hint="eastAsia" w:ascii="仿宋_GB2312" w:hAnsi="Calibri" w:eastAsia="仿宋_GB2312"/>
          <w:color w:val="000000"/>
          <w:sz w:val="28"/>
          <w:szCs w:val="28"/>
          <w:lang w:val="en-US" w:eastAsia="zh-CN"/>
        </w:rPr>
        <w:t>3.2.7教材选用</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2017年上半年，由学校主持编写的省美容美体专业核心课程教材——《面部护理（下）》和《化妆造型（下）》正式出版，进入全省中职学校教材目录，成为省内相关专业学生的指定教材。</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3.2.8国际合作等情况</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是学校创建杭州市国际理解教育品牌学校的关键之年。本年度，学校派出了各专业多位师生前往比利时友好结对学校进行访学活动；学校有三位教师参加了市、区组织的国际交流活动，感受异国职业教育，学习其先进教学理念。学校在高一、高二各专业班级开设了国际理解课程，帮助学生拓展国际视野。目前学校已经与比利时、韩国、澳大利亚、美国等国家以及港澳台地区的多所学校建立了友好互访关系。随着交流的不断深入，学校国际化办学之路必将越走越宽广。</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3.3 教师培养培训</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本年度，学校顺利完成省教师专业发展平台中申报的各项培训任务。总受训数达到了114人次，培训内容涉及教育理论、教学能力、技术提升等多方面，海外研修人数也创历史新高。学校加大了青年教师的培养力度，除选派三位教师参与杭州市新锐教师培养计划之外，另有1位教师参加了市职教科研青年团的学习培训。本年度学校为到岗的新教师分别配备了班主任工作指导老师和专业教学指导老师，帮助他们顺利完成上岗见习任务。</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28"/>
          <w:szCs w:val="28"/>
          <w:lang w:val="en-US" w:eastAsia="zh-CN"/>
        </w:rPr>
      </w:pP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28"/>
          <w:szCs w:val="28"/>
          <w:lang w:val="en-US" w:eastAsia="zh-CN"/>
        </w:rPr>
      </w:pP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28"/>
          <w:szCs w:val="28"/>
          <w:lang w:val="en-US" w:eastAsia="zh-CN"/>
        </w:rPr>
      </w:pP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3.4 规范管理情况</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3.4.1教学管理</w:t>
      </w:r>
    </w:p>
    <w:p>
      <w:pPr>
        <w:pStyle w:val="2"/>
        <w:shd w:val="clear" w:color="auto" w:fill="FFFFFF"/>
        <w:spacing w:before="0" w:beforeAutospacing="0" w:after="0" w:afterAutospacing="0" w:line="555" w:lineRule="atLeast"/>
        <w:ind w:firstLine="480"/>
        <w:jc w:val="both"/>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2017年学校教学管理部门紧紧围绕“教学诊断与改进”中心工作，狠抓课堂教学效率提升。全年共听课136节（次），召开教研组长会议15次，敢于直面教学中存在的问题，群策群力落实整改措施，有效提高了课堂教学质量。</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both"/>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3.4.2学生管理</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校学生处充分调动班主任工作积极性，通过绩效考核激励班级争优创先。细化管理制度，分解任务项目，开展柔性德育，使学生管理工作朝着规范化、人性化方向迈进。全年无重大学生事故发生，处分学生人数较上一年度明显下降。各级各类先进学生代表不断涌现。据统计，2017年全校有88名学生受到区级以上三好学生等荣誉嘉奖，11个班集体受到区级以上表彰。</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3.4.3财务管理</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学校财务制度健全，财务管理规范有序。</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3.4.4后勤管理</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后勤工作向着社会化方向迈进。学校先后与保洁公司与保安公司签订用工协议，引进专业保洁人员与保安人员参与学校后勤工作，使得校园秩序与环境卫生得到较大改观。整洁有序的校园环境促进了师生安心工作学习，勤于钻研技能。2017年，学校完成了食堂的改复建工程。新建食堂使得学生就餐环境有了较大改善，食堂员工自加压力，紧控成本，通过研发营养午餐的新菜品，进一步改进服务态度，赢得了师生们的一致好评。</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3.4.5安全管理</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校落实安全管理主体责任，各个部门负责人担负起安全生产的第一责任人。学校有专人定期巡查各项设施设备，并做好维护记录。2017年，学校共举行仿真性较强的安全疏散演练两次，邀请区红十字救护队的专业指导老师为学生讲解逃生自救知识，取得了良好效果。学校先后两次派出六位老师参加学校应急救护员的培训工作，均已完成培训，获得了相关证书。</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3.4.6科研管理和管理队伍建设</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以小课题撰写与研究为切入点，开展有针对性的科研工作。全年共获省师干训课题立项1项、市职教研究课题立项1项以及区教师小课题立项3项。有三位老师的三篇文章在省内外期刊杂志上发表。全年召开学校各层级管理人员会议152场次，有效提升了教学及班级管理两支队伍的管理水平。</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3.4.7管理信息化水平</w:t>
      </w:r>
    </w:p>
    <w:p>
      <w:pPr>
        <w:pStyle w:val="2"/>
        <w:shd w:val="clear" w:color="auto" w:fill="FFFFFF"/>
        <w:spacing w:before="0" w:beforeAutospacing="0" w:after="0" w:afterAutospacing="0" w:line="555" w:lineRule="atLeast"/>
        <w:ind w:firstLine="480"/>
        <w:jc w:val="both"/>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2017年学校引进了考试成绩分析管理系统，对学生参与的较大规模考试进行建模分析，通过大数据找出教学中的盲区与薄弱点，尽量帮助学生在关键点精准发力提高学习效率。学校通过自己开发的选课系统对自主选修课教学过程进行管理，提高了选课效率，节约了管理成本。</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3.5 德育工作情况</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3.5.1德育课实施情况</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校德育教研组紧扣习总书记“立德树人”德育总目标，结合职业学校学生特点，有针对性的通过创设实践性课业，提升德育学科教学的信度与效度。2017年，学校开足德育课程，形成了以生涯规划指导为主干，心理辅导+职业道德为两翼，法律+哲学+时政为补充的完整德育课程体系。通过辅导学生规划职业描绘生涯、带领学生养花种草感悟人生、帮助学生辨析法理敬畏规则、指引学生广闻博识增加阅历。通过师生的共同努力，我校有多位同学在省、市职业生涯规划评比活动中取得了一、二等奖的好成绩。哲学特色课业在市教研大组进行分享交流。</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3.5.2校园文化建设</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2017年学校通过校园文化提升工程建设，增设了多处校园文化标志性节点。连廊书吧、钢琴角、学生作品墙，配合着原先已有的校训石、LED大屏幕，构成了较为完整的校园文化硬件设施。每个班级定期更换的主题墙与黑板报，配合每周中午的校园广播，使得校园显性文化得以完美呈现。加之每年举行的校园文化艺术展演、校园十佳歌手评选以及丰富多彩的志愿者活动，确保学生能够浸润在健康向上的校园文化氛围中，汲取满满的正能量。</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3.5.3文明风采活动开展情况</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2017年，学校积极参与杭州市中职生职业素养大赛（全国文明风采选拔赛）。共有三个一等奖、四个二等奖、五个三等奖，其中有九件作品报送省赛参评。</w:t>
      </w:r>
    </w:p>
    <w:p>
      <w:pPr>
        <w:pStyle w:val="2"/>
        <w:shd w:val="clear" w:color="auto" w:fill="FFFFFF"/>
        <w:spacing w:before="0" w:beforeAutospacing="0" w:after="0" w:afterAutospacing="0" w:line="555" w:lineRule="atLeast"/>
        <w:ind w:firstLine="480"/>
        <w:jc w:val="center"/>
        <w:rPr>
          <w:rFonts w:hint="eastAsia" w:ascii="仿宋_GB2312" w:hAnsi="Calibri" w:eastAsia="仿宋_GB2312"/>
          <w:color w:val="000000"/>
          <w:sz w:val="32"/>
          <w:szCs w:val="32"/>
          <w:lang w:val="en-US" w:eastAsia="zh-CN"/>
        </w:rPr>
      </w:pPr>
      <w:r>
        <w:rPr>
          <w:rFonts w:hint="eastAsia" w:ascii="仿宋_GB2312" w:hAnsi="Calibri" w:eastAsia="仿宋_GB2312"/>
          <w:color w:val="000000"/>
          <w:sz w:val="24"/>
          <w:szCs w:val="24"/>
          <w:lang w:val="en-US" w:eastAsia="zh-CN"/>
        </w:rPr>
        <w:t>附表七：2017年学校市素养大赛获奖情况统计表</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lang w:val="en-US" w:eastAsia="zh-CN"/>
        </w:rPr>
      </w:pPr>
      <w:r>
        <w:drawing>
          <wp:inline distT="0" distB="0" distL="114300" distR="114300">
            <wp:extent cx="4869815" cy="2300605"/>
            <wp:effectExtent l="0" t="0" r="698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869815" cy="2300605"/>
                    </a:xfrm>
                    <a:prstGeom prst="rect">
                      <a:avLst/>
                    </a:prstGeom>
                    <a:noFill/>
                    <a:ln w="9525">
                      <a:noFill/>
                    </a:ln>
                  </pic:spPr>
                </pic:pic>
              </a:graphicData>
            </a:graphic>
          </wp:inline>
        </w:drawing>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3.5.4社团活动</w:t>
      </w:r>
    </w:p>
    <w:p>
      <w:pPr>
        <w:pStyle w:val="2"/>
        <w:shd w:val="clear" w:color="auto" w:fill="FFFFFF"/>
        <w:spacing w:before="0" w:beforeAutospacing="0" w:after="0" w:afterAutospacing="0" w:line="555" w:lineRule="atLeast"/>
        <w:ind w:firstLine="480"/>
        <w:jc w:val="both"/>
        <w:rPr>
          <w:rFonts w:hint="eastAsia" w:ascii="仿宋_GB2312" w:hAnsi="Calibri" w:eastAsia="仿宋_GB2312"/>
          <w:color w:val="000000"/>
          <w:sz w:val="32"/>
          <w:szCs w:val="32"/>
          <w:lang w:val="en-US" w:eastAsia="zh-CN"/>
        </w:rPr>
      </w:pPr>
      <w:r>
        <w:rPr>
          <w:rFonts w:hint="eastAsia" w:ascii="仿宋_GB2312" w:hAnsi="Calibri" w:eastAsia="仿宋_GB2312"/>
          <w:color w:val="000000"/>
          <w:sz w:val="32"/>
          <w:szCs w:val="32"/>
          <w:lang w:val="en-US" w:eastAsia="zh-CN"/>
        </w:rPr>
        <w:t xml:space="preserve"> </w:t>
      </w:r>
      <w:r>
        <w:rPr>
          <w:rStyle w:val="4"/>
          <w:rFonts w:hint="eastAsia"/>
          <w:b w:val="0"/>
          <w:bCs w:val="0"/>
          <w:color w:val="000000"/>
          <w:sz w:val="24"/>
          <w:szCs w:val="24"/>
          <w:lang w:val="en-US" w:eastAsia="zh-CN"/>
        </w:rPr>
        <w:t>学校团委依照中职生兴趣爱好，在广泛征集学生意见建议基础上，创设了15个社团组织。所有社团均有自己的章程及议事规则，有专门的活动指导老师。通过大家的努力，目前社团成员已成为校园文化建设的主力军。许多社团成员在各级各类比赛中，取得了较好的成绩。如绘画社的刘明月同学获得了2017年市中职生表情包创作比赛一等奖，赴日游学；凌洁同学获得杭州市五水共治主题绘画比赛一等奖。</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3.5.5团组织学生会建设及活动</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lang w:eastAsia="zh-CN"/>
        </w:rPr>
      </w:pPr>
      <w:r>
        <w:rPr>
          <w:rStyle w:val="4"/>
          <w:rFonts w:hint="eastAsia"/>
          <w:b w:val="0"/>
          <w:bCs w:val="0"/>
          <w:color w:val="000000"/>
          <w:sz w:val="24"/>
          <w:szCs w:val="24"/>
          <w:lang w:val="en-US" w:eastAsia="zh-CN"/>
        </w:rPr>
        <w:t>团委成功组织三月“学雷锋、树新风”、四月“清明节祭陵”、五月“校园十佳歌手”、六月“校园社团文化节”、九月“五水共治我参与”、十月“向国旗敬礼”等大型活动，并在各个团支部中落实每月“青年恳谈日”活动，倾听团员心声，及时交流相互学习，效果显著。学生会方面继续落实每日午间的自主管理及校园之声广播，并在十二月份进行了我校第十一次学生会改选。与拱墅区图书馆进行共建，每个双休日都有学生去图书馆进行志愿者服务，也因此获得墅区图书馆2017年度的志愿者优秀组织奖。</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3.6党建情况</w:t>
      </w:r>
    </w:p>
    <w:p>
      <w:pPr>
        <w:keepNext w:val="0"/>
        <w:keepLines w:val="0"/>
        <w:pageBreakBefore w:val="0"/>
        <w:widowControl w:val="0"/>
        <w:kinsoku/>
        <w:wordWrap/>
        <w:overflowPunct/>
        <w:topLinePunct w:val="0"/>
        <w:autoSpaceDE/>
        <w:autoSpaceDN/>
        <w:bidi w:val="0"/>
        <w:adjustRightInd w:val="0"/>
        <w:snapToGrid w:val="0"/>
        <w:spacing w:line="540" w:lineRule="atLeast"/>
        <w:ind w:left="0" w:leftChars="0" w:right="0" w:rightChars="0" w:firstLine="480" w:firstLineChars="200"/>
        <w:jc w:val="both"/>
        <w:textAlignment w:val="auto"/>
        <w:outlineLvl w:val="9"/>
        <w:rPr>
          <w:rStyle w:val="4"/>
          <w:rFonts w:hint="eastAsia" w:ascii="宋体" w:hAnsi="宋体" w:eastAsia="宋体" w:cs="宋体"/>
          <w:b w:val="0"/>
          <w:bCs w:val="0"/>
          <w:color w:val="000000"/>
          <w:kern w:val="0"/>
          <w:sz w:val="24"/>
          <w:szCs w:val="24"/>
          <w:lang w:val="en-US" w:eastAsia="zh-CN" w:bidi="ar-SA"/>
        </w:rPr>
      </w:pPr>
      <w:r>
        <w:rPr>
          <w:rStyle w:val="4"/>
          <w:rFonts w:hint="eastAsia" w:ascii="宋体" w:hAnsi="宋体" w:eastAsia="宋体" w:cs="宋体"/>
          <w:b w:val="0"/>
          <w:bCs w:val="0"/>
          <w:color w:val="000000"/>
          <w:kern w:val="0"/>
          <w:sz w:val="24"/>
          <w:szCs w:val="24"/>
          <w:lang w:val="en-US" w:eastAsia="zh-CN" w:bidi="ar-SA"/>
        </w:rPr>
        <w:t>2017年学校党支部努力抓好对党的十九大精神、习总书记重要讲话的学习工作，落实上级党委方针政策，积极开展学习实践活动，立足学校实际，围绕学校中心工作认真研究制定党建</w:t>
      </w:r>
      <w:r>
        <w:rPr>
          <w:rStyle w:val="4"/>
          <w:rFonts w:hint="eastAsia" w:ascii="宋体" w:hAnsi="宋体" w:eastAsia="宋体" w:cs="宋体"/>
          <w:b w:val="0"/>
          <w:bCs w:val="0"/>
          <w:color w:val="000000"/>
          <w:kern w:val="0"/>
          <w:sz w:val="24"/>
          <w:szCs w:val="24"/>
          <w:lang w:val="en-US" w:eastAsia="zh-CN" w:bidi="ar-SA"/>
        </w:rPr>
        <w:fldChar w:fldCharType="begin"/>
      </w:r>
      <w:r>
        <w:rPr>
          <w:rStyle w:val="4"/>
          <w:rFonts w:hint="eastAsia" w:ascii="宋体" w:hAnsi="宋体" w:eastAsia="宋体" w:cs="宋体"/>
          <w:b w:val="0"/>
          <w:bCs w:val="0"/>
          <w:color w:val="000000"/>
          <w:kern w:val="0"/>
          <w:sz w:val="24"/>
          <w:szCs w:val="24"/>
          <w:lang w:val="en-US" w:eastAsia="zh-CN" w:bidi="ar-SA"/>
        </w:rPr>
        <w:instrText xml:space="preserve"> HYPERLINK "https://www.liuxue86.com/gongzuojihua/" \t "_blank" </w:instrText>
      </w:r>
      <w:r>
        <w:rPr>
          <w:rStyle w:val="4"/>
          <w:rFonts w:hint="eastAsia" w:ascii="宋体" w:hAnsi="宋体" w:eastAsia="宋体" w:cs="宋体"/>
          <w:b w:val="0"/>
          <w:bCs w:val="0"/>
          <w:color w:val="000000"/>
          <w:kern w:val="0"/>
          <w:sz w:val="24"/>
          <w:szCs w:val="24"/>
          <w:lang w:val="en-US" w:eastAsia="zh-CN" w:bidi="ar-SA"/>
        </w:rPr>
        <w:fldChar w:fldCharType="separate"/>
      </w:r>
      <w:r>
        <w:rPr>
          <w:rStyle w:val="4"/>
          <w:rFonts w:hint="eastAsia" w:ascii="宋体" w:hAnsi="宋体" w:eastAsia="宋体" w:cs="宋体"/>
          <w:b w:val="0"/>
          <w:bCs w:val="0"/>
          <w:color w:val="000000"/>
          <w:kern w:val="0"/>
          <w:sz w:val="24"/>
          <w:szCs w:val="24"/>
          <w:lang w:val="en-US" w:eastAsia="zh-CN" w:bidi="ar-SA"/>
        </w:rPr>
        <w:t>工作计划</w:t>
      </w:r>
      <w:r>
        <w:rPr>
          <w:rStyle w:val="4"/>
          <w:rFonts w:hint="eastAsia" w:ascii="宋体" w:hAnsi="宋体" w:eastAsia="宋体" w:cs="宋体"/>
          <w:b w:val="0"/>
          <w:bCs w:val="0"/>
          <w:color w:val="000000"/>
          <w:kern w:val="0"/>
          <w:sz w:val="24"/>
          <w:szCs w:val="24"/>
          <w:lang w:val="en-US" w:eastAsia="zh-CN" w:bidi="ar-SA"/>
        </w:rPr>
        <w:fldChar w:fldCharType="end"/>
      </w:r>
      <w:r>
        <w:rPr>
          <w:rStyle w:val="4"/>
          <w:rFonts w:hint="eastAsia" w:ascii="宋体" w:hAnsi="宋体" w:eastAsia="宋体" w:cs="宋体"/>
          <w:b w:val="0"/>
          <w:bCs w:val="0"/>
          <w:color w:val="000000"/>
          <w:kern w:val="0"/>
          <w:sz w:val="24"/>
          <w:szCs w:val="24"/>
          <w:lang w:val="en-US" w:eastAsia="zh-CN" w:bidi="ar-SA"/>
        </w:rPr>
        <w:t>，坚持党员学习制度，党建工作措施得力。党员干部的先进模范作用充分的体现在了学校的中心工作中，成效较显著。支部班子成员积极参与学校的政务、财务、人事等重大事项，起到了党支部领导核心作用和监督作用。</w:t>
      </w:r>
    </w:p>
    <w:p>
      <w:pPr>
        <w:keepNext w:val="0"/>
        <w:keepLines w:val="0"/>
        <w:pageBreakBefore w:val="0"/>
        <w:widowControl w:val="0"/>
        <w:kinsoku/>
        <w:wordWrap/>
        <w:overflowPunct/>
        <w:topLinePunct w:val="0"/>
        <w:autoSpaceDE/>
        <w:autoSpaceDN/>
        <w:bidi w:val="0"/>
        <w:adjustRightInd w:val="0"/>
        <w:snapToGrid w:val="0"/>
        <w:spacing w:line="540" w:lineRule="atLeast"/>
        <w:ind w:left="0" w:leftChars="0" w:right="0" w:rightChars="0" w:firstLine="480" w:firstLineChars="200"/>
        <w:jc w:val="both"/>
        <w:textAlignment w:val="auto"/>
        <w:outlineLvl w:val="9"/>
        <w:rPr>
          <w:rStyle w:val="4"/>
          <w:rFonts w:hint="eastAsia" w:ascii="宋体" w:hAnsi="宋体" w:eastAsia="宋体" w:cs="宋体"/>
          <w:b w:val="0"/>
          <w:bCs w:val="0"/>
          <w:color w:val="000000"/>
          <w:kern w:val="0"/>
          <w:sz w:val="24"/>
          <w:szCs w:val="24"/>
          <w:lang w:val="en-US" w:eastAsia="zh-CN" w:bidi="ar-SA"/>
        </w:rPr>
      </w:pPr>
      <w:r>
        <w:rPr>
          <w:rStyle w:val="4"/>
          <w:rFonts w:hint="eastAsia" w:ascii="宋体" w:hAnsi="宋体" w:eastAsia="宋体" w:cs="宋体"/>
          <w:b w:val="0"/>
          <w:bCs w:val="0"/>
          <w:color w:val="000000"/>
          <w:kern w:val="0"/>
          <w:sz w:val="24"/>
          <w:szCs w:val="24"/>
          <w:lang w:val="en-US" w:eastAsia="zh-CN" w:bidi="ar-SA"/>
        </w:rPr>
        <w:t>在党支部的领导下，学校师生利用专业特长，定期送服务到社区、到广场，用实际行动为党旗增辉。目前，学校已经与周边的小河社区建立了长期服务共建项目，利用每月十五日党员固定活动日，派出由世界技能大赛美发项目国家队成员为骨干的美发服务小分队，上门为社区居民提供免费的理发服务。2017年共计服务30余场次，受益居民超过500人次。通过师生们热情、周到的服务，拉近了学校与社区居民的距离，则增加了市民对现代职业教育的良好认知。</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b/>
          <w:color w:val="000000"/>
          <w:sz w:val="28"/>
          <w:szCs w:val="28"/>
        </w:rPr>
      </w:pPr>
      <w:r>
        <w:rPr>
          <w:rFonts w:hint="eastAsia" w:ascii="仿宋_GB2312" w:hAnsi="Calibri" w:eastAsia="仿宋_GB2312"/>
          <w:b/>
          <w:color w:val="000000"/>
          <w:sz w:val="28"/>
          <w:szCs w:val="28"/>
        </w:rPr>
        <w:t>4.校企合作</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4.1校企合作开展情况和效果</w:t>
      </w:r>
    </w:p>
    <w:p>
      <w:pPr>
        <w:pStyle w:val="2"/>
        <w:shd w:val="clear" w:color="auto" w:fill="FFFFFF"/>
        <w:spacing w:before="0" w:beforeAutospacing="0" w:after="0" w:afterAutospacing="0" w:line="555" w:lineRule="atLeast"/>
        <w:ind w:firstLine="480"/>
        <w:rPr>
          <w:rStyle w:val="4"/>
          <w:rFonts w:hint="eastAsia"/>
          <w:b w:val="0"/>
          <w:bCs w:val="0"/>
          <w:color w:val="000000"/>
          <w:sz w:val="24"/>
          <w:szCs w:val="24"/>
          <w:lang w:val="en-US" w:eastAsia="zh-CN"/>
        </w:rPr>
      </w:pPr>
      <w:r>
        <w:rPr>
          <w:rFonts w:hint="eastAsia" w:ascii="仿宋_GB2312" w:hAnsi="Calibri" w:eastAsia="仿宋_GB2312"/>
          <w:color w:val="000000"/>
          <w:sz w:val="32"/>
          <w:szCs w:val="32"/>
          <w:lang w:val="en-US" w:eastAsia="zh-CN"/>
        </w:rPr>
        <w:t xml:space="preserve"> </w:t>
      </w:r>
      <w:r>
        <w:rPr>
          <w:rStyle w:val="4"/>
          <w:rFonts w:hint="eastAsia"/>
          <w:b w:val="0"/>
          <w:bCs w:val="0"/>
          <w:color w:val="000000"/>
          <w:sz w:val="24"/>
          <w:szCs w:val="24"/>
          <w:lang w:val="en-US" w:eastAsia="zh-CN"/>
        </w:rPr>
        <w:t>2017年，学校与（16）家企业签订了校企合作协议。校企合作的数量呈现良性增长趋势。越来越多的业内优质企业向学校伸出了橄榄枝。合作的范围也从原先的实习生接纳与毕业生录用扩展到了共同开发课程、现代学徒制人才共育以及合作申报中职质量提升工程项目。</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28"/>
          <w:szCs w:val="28"/>
          <w:lang w:val="en-US" w:eastAsia="zh-CN"/>
        </w:rPr>
      </w:pP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28"/>
          <w:szCs w:val="28"/>
          <w:lang w:val="en-US" w:eastAsia="zh-CN"/>
        </w:rPr>
      </w:pP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4.2 学生实习情况</w:t>
      </w:r>
    </w:p>
    <w:p>
      <w:pPr>
        <w:pStyle w:val="2"/>
        <w:shd w:val="clear" w:color="auto" w:fill="FFFFFF"/>
        <w:spacing w:before="0" w:beforeAutospacing="0" w:after="0" w:afterAutospacing="0" w:line="555" w:lineRule="atLeast"/>
        <w:ind w:firstLine="480"/>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2017年全年共有182位学生进入实习岗位，分布在杭州16家企业。学校认真做好实习生的管理工作以及企业的沟通交流工作，确保实习安全与收到实效。实习生及家长对实习工作的满意度达到90.72%</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4.3 集团化办学情况</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受省内其他学校相关专业发展限制，学校目前尚未组建正式的教育集团。但以学校为主导的，联系相关高职院校、行业协会以及龙头企业的松散型集团化办学趋势较为明显。2017年，先后有千岛湖职业学校、瑞安中等职业学校、温州第二职业学校、横店影视职业技术学院、浙江纺织服装职业技术学院、浙江经贸职业技术学院等兄弟学校来校交流，联系联合办学事宜。</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ascii="����" w:hAnsi="����"/>
          <w:b/>
          <w:color w:val="000000"/>
          <w:sz w:val="21"/>
          <w:szCs w:val="21"/>
        </w:rPr>
      </w:pPr>
      <w:r>
        <w:rPr>
          <w:rFonts w:hint="eastAsia" w:ascii="仿宋_GB2312" w:hAnsi="Calibri" w:eastAsia="仿宋_GB2312"/>
          <w:b/>
          <w:color w:val="000000"/>
          <w:sz w:val="28"/>
          <w:szCs w:val="28"/>
        </w:rPr>
        <w:t>5.社会服务与贡献</w:t>
      </w:r>
      <w:r>
        <w:rPr>
          <w:rFonts w:hint="eastAsia" w:ascii="仿宋_GB2312" w:hAnsi="Calibri" w:eastAsia="仿宋_GB2312"/>
          <w:b/>
          <w:color w:val="000000"/>
          <w:sz w:val="32"/>
          <w:szCs w:val="32"/>
        </w:rPr>
        <w:t> </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5.1技术技能人才培养</w:t>
      </w:r>
    </w:p>
    <w:p>
      <w:pPr>
        <w:pStyle w:val="2"/>
        <w:shd w:val="clear" w:color="auto" w:fill="FFFFFF"/>
        <w:spacing w:before="0" w:beforeAutospacing="0" w:after="0" w:afterAutospacing="0" w:line="555" w:lineRule="atLeast"/>
        <w:ind w:firstLine="480"/>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创建的美发技能竞赛师徒制试点工作取得重大成果。在10月举行的第44届世界技能大赛美发项目比赛中，由我校特聘专家吉正龙老师指导的选手王芹（现为我校教师）以第四名的成绩获得优胜奖。赛后，王芹被浙江省人社厅破格晋升为技师，成为美发高技术人才。另外四位进入世赛国家队的选手石丹、沈文青、胡冉冉、蒋静也成为高级技能人才，留校任教或成为名企的技术骨干。</w:t>
      </w:r>
    </w:p>
    <w:p>
      <w:pPr>
        <w:pStyle w:val="2"/>
        <w:shd w:val="clear" w:color="auto" w:fill="FFFFFF"/>
        <w:spacing w:before="0" w:beforeAutospacing="0" w:after="0" w:afterAutospacing="0" w:line="555" w:lineRule="atLeast"/>
        <w:ind w:firstLine="480"/>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学校一直注重与用人单位的联系，保持对毕业生的跟踪调查。据不完全统计，截止到2017年末，在学校主要的合作企业中，有83%的我校毕业生获得了升职、加薪机会，企业满意度达到了100%。</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5.2社会服务</w:t>
      </w:r>
    </w:p>
    <w:p>
      <w:pPr>
        <w:pStyle w:val="2"/>
        <w:shd w:val="clear" w:color="auto" w:fill="FFFFFF"/>
        <w:spacing w:before="0" w:beforeAutospacing="0" w:after="0" w:afterAutospacing="0" w:line="555" w:lineRule="atLeast"/>
        <w:ind w:firstLine="480"/>
        <w:jc w:val="both"/>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利用特色专业服务社会需求，历来是学校坚持的基本原则之一。2017年，学校实训基地共向社会提供美发、美容以及摄影类培训8场次，受训学员达到460人次。学校还多次受邀，参与“拱墅区中小学生运动会”、“大运河婚典”、“城中村拆迁摄影”、“新星杯动漫颁奖盛典”等大型活动的服务工作，均受到举办者的好评。</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5.3对口支援</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2017年，学校在区教育局的牵线下，与贵州黄陂县职业学校、温州苍南职业学校结成了对口支援学校关系。并接纳了四川阿坝州后备干部来校挂职锻炼。</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b/>
          <w:color w:val="000000"/>
          <w:sz w:val="28"/>
          <w:szCs w:val="28"/>
        </w:rPr>
      </w:pPr>
      <w:r>
        <w:rPr>
          <w:rFonts w:hint="eastAsia" w:ascii="仿宋_GB2312" w:hAnsi="Calibri" w:eastAsia="仿宋_GB2312"/>
          <w:b/>
          <w:color w:val="000000"/>
          <w:sz w:val="28"/>
          <w:szCs w:val="28"/>
        </w:rPr>
        <w:t>6.举办者履责</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32"/>
          <w:szCs w:val="32"/>
        </w:rPr>
      </w:pPr>
      <w:r>
        <w:rPr>
          <w:rFonts w:hint="eastAsia" w:ascii="仿宋_GB2312" w:hAnsi="Calibri" w:eastAsia="仿宋_GB2312"/>
          <w:color w:val="000000"/>
          <w:sz w:val="28"/>
          <w:szCs w:val="28"/>
          <w:lang w:val="en-US" w:eastAsia="zh-CN"/>
        </w:rPr>
        <w:t>6.1经费</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一年来，上级主办单位加大了对学校各项工作的经费投入。学校紧紧围绕中心工作，认真用好上级下拨的各项经费。学校专门成立物资设备采购小组，对项目招标、合同订立等环节实施阳光操作。</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6.2政策措施</w:t>
      </w:r>
    </w:p>
    <w:p>
      <w:pPr>
        <w:pStyle w:val="2"/>
        <w:shd w:val="clear" w:color="auto" w:fill="FFFFFF"/>
        <w:spacing w:before="0" w:beforeAutospacing="0" w:after="0" w:afterAutospacing="0" w:line="555" w:lineRule="atLeast"/>
        <w:ind w:firstLine="480"/>
        <w:jc w:val="both"/>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学校严格按照办学章程，明确主体责任。学校会同区教育局、区人力社保局，依据现有政策，积极落实教师编制，尤其是高技能水平专业教师的入编问题，不断完善教师队伍构成。学校出台了三年发展规划，努力提升办学水平。</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ascii="����" w:hAnsi="����"/>
          <w:b/>
          <w:color w:val="000000"/>
          <w:sz w:val="21"/>
          <w:szCs w:val="21"/>
        </w:rPr>
      </w:pPr>
      <w:r>
        <w:rPr>
          <w:rFonts w:hint="eastAsia" w:ascii="仿宋_GB2312" w:hAnsi="Calibri" w:eastAsia="仿宋_GB2312"/>
          <w:b/>
          <w:color w:val="000000"/>
          <w:sz w:val="28"/>
          <w:szCs w:val="28"/>
        </w:rPr>
        <w:t>7.特色创新</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7.1特色案例之一：以“四让”为特色，做温润德育</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val="0"/>
          <w:bCs w:val="0"/>
          <w:color w:val="000000"/>
          <w:sz w:val="24"/>
          <w:szCs w:val="24"/>
          <w:lang w:val="en-US" w:eastAsia="zh-CN"/>
        </w:rPr>
        <w:t>如何落实习近平总书记“立德树人”新时代职业学校德育的期望与要求？如何应对新时代中职生对未来美好生活的追求向往与当下德育供给不均衡不充分之间的矛盾？是学校管理层一直在思考与实践的重大课题。结合对学生的细致观察与学校的专业特色，近年来，学校尝试着做有温度的德育，强调以适合的方式对待学生，改变传统德育中“千篇一律、千人一面”的僵化做法。</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bCs/>
          <w:color w:val="000000"/>
          <w:sz w:val="24"/>
          <w:szCs w:val="24"/>
          <w:lang w:val="en-US" w:eastAsia="zh-CN"/>
        </w:rPr>
        <w:t>让墙壁说话。</w:t>
      </w:r>
      <w:r>
        <w:rPr>
          <w:rStyle w:val="4"/>
          <w:rFonts w:hint="eastAsia" w:ascii="华文楷体" w:hAnsi="华文楷体" w:eastAsia="华文楷体" w:cs="华文楷体"/>
          <w:b w:val="0"/>
          <w:bCs w:val="0"/>
          <w:color w:val="000000"/>
          <w:sz w:val="24"/>
          <w:szCs w:val="24"/>
          <w:lang w:val="en-US" w:eastAsia="zh-CN"/>
        </w:rPr>
        <w:t>结合教学楼功能提升改造，学校在每个教室外的墙壁上增设了班级文化展示栏，期待各班师生以自己的智慧妆点出属于自己的一片小天地，让展示栏述说班级的变化与进步。给学生以自由发挥的空间，还给大家的必然是美妙无比的创意，各个班级结合自己的专业特点，通过照片、文字、绘画乃至手工作品等形式展示着大家的真性情。有时会有一些小小的青春叛逆、或是亚文化的成分出现，老师们尽可能用一种欣赏和包容的眼光去对待，于是每个班级的展示栏就有了充分的活力与充足的吸引力。“抓眼球、有内容、有思考”已经越来越多地成为班级布置的基本标准。</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bCs/>
          <w:color w:val="000000"/>
          <w:sz w:val="24"/>
          <w:szCs w:val="24"/>
          <w:lang w:val="en-US" w:eastAsia="zh-CN"/>
        </w:rPr>
        <w:t>让社团展才。</w:t>
      </w:r>
      <w:r>
        <w:rPr>
          <w:rStyle w:val="4"/>
          <w:rFonts w:hint="eastAsia" w:ascii="华文楷体" w:hAnsi="华文楷体" w:eastAsia="华文楷体" w:cs="华文楷体"/>
          <w:b w:val="0"/>
          <w:bCs w:val="0"/>
          <w:color w:val="000000"/>
          <w:sz w:val="24"/>
          <w:szCs w:val="24"/>
          <w:lang w:val="en-US" w:eastAsia="zh-CN"/>
        </w:rPr>
        <w:t>近年来，学校团委充分挖掘校内外师资资源，在尊重学生兴趣爱好的基础上，创设出了二十多个为学生喜闻乐见、参与度高的社团。坚持每周定期开展活动，帮助学生增加专业学习之外兴趣爱好的培养与提升。社团建设的加强，帮助学校发现了学生很多的闪光点，对于改变育人方法，用学生最能够接受的方式走近学生，了解学生，实施精准德育，带动一个，影响一批，使得学校德育工作形式整体向好</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bCs/>
          <w:color w:val="000000"/>
          <w:sz w:val="24"/>
          <w:szCs w:val="24"/>
          <w:lang w:val="en-US" w:eastAsia="zh-CN"/>
        </w:rPr>
        <w:t>让活动育人。</w:t>
      </w:r>
      <w:r>
        <w:rPr>
          <w:rStyle w:val="4"/>
          <w:rFonts w:hint="eastAsia" w:ascii="华文楷体" w:hAnsi="华文楷体" w:eastAsia="华文楷体" w:cs="华文楷体"/>
          <w:b w:val="0"/>
          <w:bCs w:val="0"/>
          <w:color w:val="000000"/>
          <w:sz w:val="24"/>
          <w:szCs w:val="24"/>
          <w:lang w:val="en-US" w:eastAsia="zh-CN"/>
        </w:rPr>
        <w:t>学校学生处在活动创设过程中能够抓住德育的重点与热点，开展有计划有目的主题活动。通过尝试与摸索，如今学校已经基本做到了分年级按月开展内容不同的主题教育活动，结合班会课、展示栏以及广播站等形式进行，做到360°全覆盖无死角。高一年级从新生入校规范教育到职业理想信念教育再到生涯规划指导，确保学生能够“静下来、学起来”；高二年级从职业道德行业规范教育到法治法纪教育再到时事政治教育，帮助学生养成一定的职业素养意识并积极成为关注社会发展的人；高三则是结合实习期岗前培训进行劳动纪律教育以及安全意识教育，辅以一定的职场心理疏导，帮助学生尽快顺利完成自我角色的转变。除了月度主题教育之外，学校还利用春秋游、元旦汇演、校运会、校园十佳歌手选拔等大型活动对学生进行与之有关的德育教育，使活动更加充实饱满。</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bCs/>
          <w:color w:val="000000"/>
          <w:sz w:val="24"/>
          <w:szCs w:val="24"/>
          <w:lang w:val="en-US" w:eastAsia="zh-CN"/>
        </w:rPr>
        <w:t>让规范管用。</w:t>
      </w:r>
      <w:r>
        <w:rPr>
          <w:rStyle w:val="4"/>
          <w:rFonts w:hint="eastAsia" w:ascii="华文楷体" w:hAnsi="华文楷体" w:eastAsia="华文楷体" w:cs="华文楷体"/>
          <w:b w:val="0"/>
          <w:bCs w:val="0"/>
          <w:color w:val="000000"/>
          <w:sz w:val="24"/>
          <w:szCs w:val="24"/>
          <w:lang w:val="en-US" w:eastAsia="zh-CN"/>
        </w:rPr>
        <w:t>学校有一整套学生管理规范制度，以往仅仅是在对问题学生处理时才会照本宣科的加以执行。为使制度管理形成长效机制，学校推广了班级星级管理办法。把学生管理制度中的要求进一步细化与明确为若干可执行可操作性强的项目，在班与班之间形成一定的竞争性评价，既给压力也给动力，促进学生对学校各项规章制度的了解与执行，从根本上改变了以往规章制度束之高阁，管理缺乏统一口径的问题。</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val="0"/>
          <w:bCs w:val="0"/>
          <w:color w:val="000000"/>
          <w:sz w:val="24"/>
          <w:szCs w:val="24"/>
          <w:lang w:val="en-US" w:eastAsia="zh-CN"/>
        </w:rPr>
        <w:t>“四让”工作方法背后是学校德育理念的转变，让原本冷冰冰的中职学生管理充分体现人文的温度。学校倡导37°德育原则，以正常人的体温来衡量学校德育的质量与效率。一方面要体现出德育的严肃性，让学生认识到准守规章的必要性与重要性，另一方面要体现出教育的人文性，以适当的方式开展教育，这种教育是一种适合温度下，学生可以接受的教育，过于的贴近学生与疏远学生都起不到良好的教育效果，唯有适合的才是最好的德育。而这种德育的本质在于给予学生充分尊重下的个性化德育。</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7.2特色案例之二：聚“四力”促发展，塑精业匠心</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val="0"/>
          <w:bCs w:val="0"/>
          <w:color w:val="000000"/>
          <w:sz w:val="24"/>
          <w:szCs w:val="24"/>
          <w:lang w:val="en-US" w:eastAsia="zh-CN"/>
        </w:rPr>
        <w:t>学校在教学上牢牢掌控好各要素之间的关系，通过“选择性课改、高层次技能竞赛、校企合作与专业建设”四个方面，凝聚四方合力，促进高素质技能型人才的培养，打造全新的拱墅职业教育金名片。</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val="0"/>
          <w:bCs w:val="0"/>
          <w:color w:val="000000"/>
          <w:sz w:val="24"/>
          <w:szCs w:val="24"/>
          <w:lang w:val="en-US" w:eastAsia="zh-CN"/>
        </w:rPr>
        <w:t>发挥课改驱动力。课程改革，历来是学校内涵发展的强大引擎。早在十多年年，学校就利用省中职第一轮课改的契机，通过构建基于“项目教学”的专业课程体系，完成了省《美容美体》专业的课改任务，使专业建设走在了全省领跑、全国领先的位置，成就了多位专业教师实现了成为全国技术能手、省市专业名师的梦想。在当下正在进行的选择性课程改革中，学校自然不会甘于人后。通过对现有课程和师资的有效整合，学校依照学生的兴趣爱好和专业发展需要，独立开发出了数十门有针对性的自主选修课程，并依照课改要求，通过提前分班、分发展方向等做法，赋予学生在学制与课程上更多的自主选择权，确保学生学有所长、学有所获。</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val="0"/>
          <w:bCs w:val="0"/>
          <w:color w:val="000000"/>
          <w:sz w:val="24"/>
          <w:szCs w:val="24"/>
          <w:lang w:val="en-US" w:eastAsia="zh-CN"/>
        </w:rPr>
        <w:t>用好竞赛提升力。职业学校，检验专业教学质量最直观的途径就是技能大赛成绩。在国家取消了相关专业技能大赛设项的不利条件下，学校自加压力，朝着更高更具挑战性的世界技能大赛目标迈进。2014年末，学校率先启动了世赛美发项目备赛工作。通过努力，学校有三位学生跻身国家集训队五强。最终，王芹同学代表中国出战第44届世界技能大赛，以总分第四名的成绩夺得优胜奖，为国争光！学校实训基地也凭借着一流的设施设备和管理，成为了国家队的备赛基地。除此之外，学校还积极参与面向中职学生的职业技能大赛和职业素养大赛。2016年度，荣获全国文明风赛大赛优秀组织奖，并夺得两个二等奖、三个三等奖的好成绩；在省市职业技能大赛上，学校选手也有上佳表现。通过比赛，提升了学校的知名度与美誉度，帮助一大批学生凭借出色的竞赛成绩改变了自己的人生轨迹。他们中的佼佼者有的留校成为了学生喜爱的专业教师；有的被行业名企抢走，成为技术骨干；还有的免试进入高职院校学习，继续加深自己的专业学识。</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val="0"/>
          <w:bCs w:val="0"/>
          <w:color w:val="000000"/>
          <w:sz w:val="24"/>
          <w:szCs w:val="24"/>
          <w:lang w:val="en-US" w:eastAsia="zh-CN"/>
        </w:rPr>
        <w:t>调度企业参与力。职业教育不是美丽的独舞，只有融入企业的参与才能风生水起，左右逢源，培养出适合企业发展的适用性人才。选有情怀的企业，做有温度的学徒制试点。这是我们在进行校企合作过程中总结出来的一条经验。学校毕竟是教书育人的地方，企业只有将育人目标置于盈利目标之前，才有与学校合作的可能性。2016年，学校率先与佳丽摄影达成了现代学徒制试点协议，引进房翔大师“逆光飞翔”工作室在学校驻点，成为学徒制班级学生走向企业之前的孵化器，很好地解决了学生在从学校人向企业人转变过程中不适应难题，为杭州中职学徒制试点提供了拱墅样本。之后于2017年开设的苑苑美发专业学徒制班级和未来即将开设的绣华医美学徒制班级也将采用类似的孵化流程，确保人才培养的环节不缺失，质量有保证。</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2" w:firstLineChars="0"/>
        <w:jc w:val="both"/>
        <w:textAlignment w:val="auto"/>
        <w:outlineLvl w:val="9"/>
        <w:rPr>
          <w:rStyle w:val="4"/>
          <w:rFonts w:hint="eastAsia" w:ascii="华文楷体" w:hAnsi="华文楷体" w:eastAsia="华文楷体" w:cs="华文楷体"/>
          <w:b w:val="0"/>
          <w:bCs w:val="0"/>
          <w:color w:val="000000"/>
          <w:sz w:val="24"/>
          <w:szCs w:val="24"/>
          <w:lang w:val="en-US" w:eastAsia="zh-CN"/>
        </w:rPr>
      </w:pPr>
      <w:r>
        <w:rPr>
          <w:rStyle w:val="4"/>
          <w:rFonts w:hint="eastAsia" w:ascii="华文楷体" w:hAnsi="华文楷体" w:eastAsia="华文楷体" w:cs="华文楷体"/>
          <w:b w:val="0"/>
          <w:bCs w:val="0"/>
          <w:color w:val="000000"/>
          <w:sz w:val="24"/>
          <w:szCs w:val="24"/>
          <w:lang w:val="en-US" w:eastAsia="zh-CN"/>
        </w:rPr>
        <w:t>促成专业发展力。学校建设的成败在于专业，专业优势的体现无外乎一流的师资力量与高精尖的实习实训设备。近年来，学校在上级行政部门的支持下，加大了专业建设的力度。2016年，新的实训基地投入使用，基本满足了在校学生的实习实训需要。该基地还积极对外拓展与专业相关的业务与师资，先后引进了房翔、吉正龙、吴秀华等行业大咖加盟基地，并作为杭州公共实训基地的分基地，承揽培训业务，扩大专业影响力。学校还千方百计加强师资对于建设，2017年获批的“省三名工程项目”——吉正龙大师工作室，其中最重要的任务就是培养过硬的教师队伍，确保教学质量的提升。现如今，学校已拥有五位全国技术能手，双师型比例达到86%。一把批业务娴熟、技术一流的教学骨干活跃在各个专业教学的第一线，努力培养高职业素养的工匠型人才。</w:t>
      </w:r>
    </w:p>
    <w:p>
      <w:pPr>
        <w:pStyle w:val="2"/>
        <w:shd w:val="clear" w:color="auto" w:fill="FFFFFF"/>
        <w:spacing w:before="0" w:beforeAutospacing="0" w:after="0" w:afterAutospacing="0" w:line="555" w:lineRule="atLeast"/>
        <w:ind w:firstLine="480"/>
        <w:rPr>
          <w:rFonts w:hint="eastAsia" w:ascii="仿宋_GB2312" w:hAnsi="Calibri" w:eastAsia="仿宋_GB2312"/>
          <w:b/>
          <w:color w:val="000000"/>
          <w:sz w:val="32"/>
          <w:szCs w:val="32"/>
        </w:rPr>
      </w:pPr>
    </w:p>
    <w:p>
      <w:pPr>
        <w:pStyle w:val="2"/>
        <w:shd w:val="clear" w:color="auto" w:fill="FFFFFF"/>
        <w:spacing w:before="0" w:beforeAutospacing="0" w:after="0" w:afterAutospacing="0" w:line="555" w:lineRule="atLeast"/>
        <w:ind w:firstLine="480"/>
        <w:rPr>
          <w:rFonts w:hint="eastAsia" w:ascii="仿宋_GB2312" w:hAnsi="Calibri" w:eastAsia="仿宋_GB2312"/>
          <w:b/>
          <w:color w:val="000000"/>
          <w:sz w:val="32"/>
          <w:szCs w:val="32"/>
        </w:rPr>
      </w:pPr>
      <w:r>
        <w:rPr>
          <w:rFonts w:hint="eastAsia" w:ascii="仿宋_GB2312" w:hAnsi="Calibri" w:eastAsia="仿宋_GB2312"/>
          <w:b/>
          <w:color w:val="000000"/>
          <w:sz w:val="28"/>
          <w:szCs w:val="28"/>
        </w:rPr>
        <w:t>8.主要问题和改进措施</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lang w:val="en-US" w:eastAsia="zh-CN"/>
        </w:rPr>
      </w:pPr>
      <w:r>
        <w:rPr>
          <w:rFonts w:hint="eastAsia" w:ascii="仿宋_GB2312" w:hAnsi="Calibri" w:eastAsia="仿宋_GB2312"/>
          <w:color w:val="000000"/>
          <w:sz w:val="28"/>
          <w:szCs w:val="28"/>
          <w:lang w:val="en-US" w:eastAsia="zh-CN"/>
        </w:rPr>
        <w:t>8.1办学场地过于狭小</w:t>
      </w:r>
    </w:p>
    <w:p>
      <w:pPr>
        <w:pStyle w:val="2"/>
        <w:shd w:val="clear" w:color="auto" w:fill="FFFFFF"/>
        <w:spacing w:before="0" w:beforeAutospacing="0" w:after="0" w:afterAutospacing="0" w:line="555" w:lineRule="atLeast"/>
        <w:ind w:firstLine="480"/>
        <w:rPr>
          <w:rFonts w:hint="eastAsia" w:ascii="仿宋_GB2312" w:hAnsi="Calibri" w:eastAsia="仿宋_GB2312"/>
          <w:color w:val="000000"/>
          <w:sz w:val="32"/>
          <w:szCs w:val="32"/>
          <w:lang w:val="en-US" w:eastAsia="zh-CN"/>
        </w:rPr>
      </w:pPr>
      <w:r>
        <w:rPr>
          <w:rStyle w:val="4"/>
          <w:rFonts w:hint="eastAsia"/>
          <w:b w:val="0"/>
          <w:bCs w:val="0"/>
          <w:color w:val="000000"/>
          <w:sz w:val="24"/>
          <w:szCs w:val="24"/>
          <w:lang w:val="en-US" w:eastAsia="zh-CN"/>
        </w:rPr>
        <w:t>受周边城市建设发展的影响，目前主校区面积不足15亩，严重制约了学校发展。2017年，在区委、区政府的关心下，区教育局、区城建发展中心与上塘街道密切配合，落实了学校新校址的控规变更工作，2018年上半年将启动新校区的建设招标，预计2020年9月，学校将整体搬迁至占地面积更大、基础设施更好、硬件投入更优的新校区办学。</w:t>
      </w:r>
    </w:p>
    <w:p>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55" w:lineRule="atLeast"/>
        <w:ind w:left="0" w:leftChars="0" w:right="0" w:rightChars="0" w:firstLine="482" w:firstLineChars="0"/>
        <w:jc w:val="left"/>
        <w:textAlignment w:val="auto"/>
        <w:outlineLvl w:val="9"/>
        <w:rPr>
          <w:rFonts w:hint="eastAsia" w:ascii="仿宋_GB2312" w:hAnsi="Calibri" w:eastAsia="仿宋_GB2312"/>
          <w:color w:val="000000"/>
          <w:sz w:val="28"/>
          <w:szCs w:val="28"/>
          <w:lang w:val="en-US" w:eastAsia="zh-CN"/>
        </w:rPr>
      </w:pPr>
      <w:r>
        <w:rPr>
          <w:rFonts w:hint="eastAsia" w:ascii="仿宋_GB2312" w:hAnsi="Calibri" w:eastAsia="仿宋_GB2312"/>
          <w:color w:val="000000"/>
          <w:sz w:val="28"/>
          <w:szCs w:val="28"/>
          <w:lang w:val="en-US" w:eastAsia="zh-CN"/>
        </w:rPr>
        <w:t>8.2专业师资引进困难</w:t>
      </w:r>
    </w:p>
    <w:p>
      <w:pPr>
        <w:pStyle w:val="2"/>
        <w:shd w:val="clear" w:color="auto" w:fill="FFFFFF"/>
        <w:spacing w:before="0" w:beforeAutospacing="0" w:after="0" w:afterAutospacing="0" w:line="555" w:lineRule="atLeast"/>
        <w:ind w:firstLine="480"/>
        <w:rPr>
          <w:rStyle w:val="4"/>
          <w:rFonts w:hint="eastAsia"/>
          <w:b w:val="0"/>
          <w:bCs w:val="0"/>
          <w:color w:val="000000"/>
          <w:sz w:val="24"/>
          <w:szCs w:val="24"/>
          <w:lang w:val="en-US" w:eastAsia="zh-CN"/>
        </w:rPr>
      </w:pPr>
      <w:r>
        <w:rPr>
          <w:rStyle w:val="4"/>
          <w:rFonts w:hint="eastAsia"/>
          <w:b w:val="0"/>
          <w:bCs w:val="0"/>
          <w:color w:val="000000"/>
          <w:sz w:val="24"/>
          <w:szCs w:val="24"/>
          <w:lang w:val="en-US" w:eastAsia="zh-CN"/>
        </w:rPr>
        <w:t>受现有教师招聘条件的限制，学校主干专业引进高技能专业师资的工作存在一定困难。随着学校在世界技能大赛中取得好成绩以及省市人力社保以及教育行政主管部门的政策支持，相关问题正在逐步得到解决。</w:t>
      </w:r>
    </w:p>
    <w:p>
      <w:pPr>
        <w:pStyle w:val="2"/>
        <w:shd w:val="clear" w:color="auto" w:fill="FFFFFF"/>
        <w:spacing w:before="0" w:beforeAutospacing="0" w:after="0" w:afterAutospacing="0" w:line="555" w:lineRule="atLeast"/>
        <w:ind w:firstLine="480"/>
        <w:rPr>
          <w:rStyle w:val="4"/>
          <w:rFonts w:hint="eastAsia"/>
          <w:b w:val="0"/>
          <w:bCs w:val="0"/>
          <w:color w:val="000000"/>
          <w:sz w:val="24"/>
          <w:szCs w:val="24"/>
          <w:lang w:val="en-US" w:eastAsia="zh-CN"/>
        </w:rPr>
      </w:pPr>
    </w:p>
    <w:p>
      <w:pPr>
        <w:pStyle w:val="2"/>
        <w:shd w:val="clear" w:color="auto" w:fill="FFFFFF"/>
        <w:spacing w:before="0" w:beforeAutospacing="0" w:after="0" w:afterAutospacing="0" w:line="315" w:lineRule="atLeast"/>
        <w:rPr>
          <w:rFonts w:ascii="����" w:hAnsi="����"/>
          <w:b/>
          <w:color w:val="000000"/>
          <w:sz w:val="21"/>
          <w:szCs w:val="21"/>
        </w:rPr>
      </w:pPr>
      <w:r>
        <w:rPr>
          <w:rFonts w:hint="eastAsia" w:ascii="仿宋_GB2312" w:hAnsi="Calibri" w:eastAsia="仿宋_GB2312"/>
          <w:color w:val="000000"/>
          <w:sz w:val="32"/>
          <w:szCs w:val="32"/>
        </w:rPr>
        <w:t xml:space="preserve">  </w:t>
      </w:r>
      <w:r>
        <w:rPr>
          <w:rFonts w:hint="eastAsia" w:ascii="仿宋_GB2312" w:hAnsi="Calibri" w:eastAsia="仿宋_GB2312"/>
          <w:b/>
          <w:color w:val="000000"/>
          <w:sz w:val="32"/>
          <w:szCs w:val="32"/>
        </w:rPr>
        <w:t xml:space="preserve"> </w:t>
      </w:r>
      <w:r>
        <w:rPr>
          <w:rFonts w:hint="eastAsia" w:ascii="仿宋_GB2312" w:hAnsi="Calibri" w:eastAsia="仿宋_GB2312"/>
          <w:b/>
          <w:color w:val="000000"/>
          <w:sz w:val="28"/>
          <w:szCs w:val="28"/>
        </w:rPr>
        <w:t>9．学校认为需要向社会公布的其他办学情况</w:t>
      </w:r>
    </w:p>
    <w:p>
      <w:pPr>
        <w:rPr>
          <w:rStyle w:val="4"/>
          <w:rFonts w:hint="eastAsia" w:ascii="宋体" w:hAnsi="宋体" w:eastAsia="宋体" w:cs="宋体"/>
          <w:b w:val="0"/>
          <w:bCs w:val="0"/>
          <w:color w:val="000000"/>
          <w:kern w:val="0"/>
          <w:sz w:val="24"/>
          <w:szCs w:val="24"/>
          <w:lang w:val="en-US" w:eastAsia="zh-CN" w:bidi="ar-SA"/>
        </w:rPr>
      </w:pPr>
      <w:r>
        <w:rPr>
          <w:rFonts w:hint="eastAsia"/>
          <w:lang w:val="en-US" w:eastAsia="zh-CN"/>
        </w:rPr>
        <w:t xml:space="preserve">    </w:t>
      </w:r>
      <w:r>
        <w:rPr>
          <w:rStyle w:val="4"/>
          <w:rFonts w:hint="eastAsia" w:ascii="宋体" w:hAnsi="宋体" w:eastAsia="宋体" w:cs="宋体"/>
          <w:b w:val="0"/>
          <w:bCs w:val="0"/>
          <w:color w:val="000000"/>
          <w:kern w:val="0"/>
          <w:sz w:val="24"/>
          <w:szCs w:val="24"/>
          <w:lang w:val="en-US" w:eastAsia="zh-CN" w:bidi="ar-SA"/>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9A217B"/>
    <w:rsid w:val="0D50794A"/>
    <w:rsid w:val="11C901F7"/>
    <w:rsid w:val="1C613B16"/>
    <w:rsid w:val="227E562F"/>
    <w:rsid w:val="289A217B"/>
    <w:rsid w:val="2E227232"/>
    <w:rsid w:val="4D5855DE"/>
    <w:rsid w:val="5A10328C"/>
    <w:rsid w:val="5D9B04C6"/>
    <w:rsid w:val="5DED259B"/>
    <w:rsid w:val="5FFC3969"/>
    <w:rsid w:val="63A36928"/>
    <w:rsid w:val="65D60672"/>
    <w:rsid w:val="67BB70F7"/>
    <w:rsid w:val="68B85DD7"/>
    <w:rsid w:val="712A5737"/>
    <w:rsid w:val="730861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 w:type="character" w:styleId="4">
    <w:name w:val="Strong"/>
    <w:qFormat/>
    <w:uiPriority w:val="0"/>
    <w:rPr>
      <w:b/>
      <w:bCs/>
    </w:rPr>
  </w:style>
  <w:style w:type="character" w:styleId="5">
    <w:name w:val="Hyperlink"/>
    <w:basedOn w:val="3"/>
    <w:uiPriority w:val="0"/>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2018-01-08T00:07:00Z</dcterms:created>
  <dc:creator>弈陽</dc:creator>
  <cp:lastModifiedBy>wellwell33</cp:lastModifiedBy>
  <dcterms:modified xsi:type="dcterms:W3CDTF">2018-06-13T03:09:44Z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